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36"/>
          <w:highlight w:val="none"/>
          <w:lang w:eastAsia="zh-CN"/>
        </w:rPr>
      </w:pPr>
      <w:r>
        <w:rPr>
          <w:rFonts w:hint="eastAsia" w:ascii="宋体" w:hAnsi="宋体" w:cs="宋体"/>
          <w:color w:val="auto"/>
          <w:sz w:val="36"/>
          <w:highlight w:val="none"/>
        </w:rPr>
        <w:t xml:space="preserve">编号：</w:t>
      </w:r>
      <w:r>
        <w:rPr>
          <w:rFonts w:hint="eastAsia" w:ascii="宋体" w:hAnsi="宋体" w:cs="宋体"/>
          <w:color w:val="auto"/>
          <w:sz w:val="36"/>
          <w:highlight w:val="none"/>
          <w:lang w:eastAsia="zh-CN"/>
        </w:rPr>
        <w:t xml:space="preserve">JSZC-321002-JSHH-C2025-0006</w:t>
      </w:r>
      <w:r/>
    </w:p>
    <w:p>
      <w:pPr>
        <w:pStyle w:val="705"/>
        <w:rPr>
          <w:color w:val="auto"/>
          <w:highlight w:val="none"/>
        </w:rPr>
      </w:pPr>
      <w:r>
        <w:rPr>
          <w:color w:val="auto"/>
          <w:highlight w:val="none"/>
        </w:rPr>
      </w:r>
      <w:r/>
    </w:p>
    <w:p>
      <w:pPr>
        <w:jc w:val="center"/>
        <w:spacing w:line="360"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jc w:val="center"/>
        <w:spacing w:line="276"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意撒项目地块地下淤泥、杂土清运工程</w:t>
      </w:r>
      <w:r/>
    </w:p>
    <w:p>
      <w:pPr>
        <w:jc w:val="center"/>
        <w:spacing w:line="276" w:lineRule="auto"/>
        <w:rPr>
          <w:rFonts w:hint="eastAsia" w:ascii="宋体" w:hAnsi="宋体" w:cs="宋体"/>
          <w:color w:val="auto"/>
          <w:sz w:val="36"/>
          <w:highlight w:val="none"/>
        </w:rPr>
      </w:pPr>
      <w:r>
        <w:rPr>
          <w:rFonts w:hint="eastAsia" w:ascii="宋体" w:hAnsi="宋体" w:cs="宋体"/>
          <w:color w:val="auto"/>
          <w:sz w:val="48"/>
          <w:szCs w:val="48"/>
          <w:highlight w:val="none"/>
        </w:rPr>
        <w:t xml:space="preserve">竞争性磋商文件</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74310" cy="3752215"/>
                <wp:effectExtent l="0" t="0" r="2540" b="635"/>
                <wp:docPr id="1" name="图片 1" descr="微信图片_2021120316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52422" name="图片 1" descr="微信图片_20211203161454"/>
                        <pic:cNvPicPr>
                          <a:picLocks noChangeAspect="1"/>
                        </pic:cNvPicPr>
                        <pic:nvPr/>
                      </pic:nvPicPr>
                      <pic:blipFill>
                        <a:blip r:embed="rId11"/>
                        <a:stretch/>
                      </pic:blipFill>
                      <pic:spPr bwMode="auto">
                        <a:xfrm>
                          <a:off x="0" y="0"/>
                          <a:ext cx="5274310" cy="3752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95.4pt;mso-wrap-distance-left:0.0pt;mso-wrap-distance-top:0.0pt;mso-wrap-distance-right:0.0pt;mso-wrap-distance-bottom:0.0pt;" stroked="f">
                <v:path textboxrect="0,0,0,0"/>
                <v:imagedata r:id="rId11" o:title=""/>
              </v:shape>
            </w:pict>
          </mc:Fallback>
        </mc:AlternateConten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6"/>
          <w:szCs w:val="36"/>
          <w:highlight w:val="none"/>
        </w:rPr>
      </w:pPr>
      <w:r/>
      <w:bookmarkStart w:id="0" w:name="FMFBSJ_1"/>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江苏海红项目管理有限公司</w:t>
      </w:r>
      <w:r/>
    </w:p>
    <w:p>
      <w:pPr>
        <w:jc w:val="center"/>
        <w:rPr>
          <w:rFonts w:hint="eastAsia" w:ascii="宋体" w:hAnsi="宋体" w:cs="宋体"/>
          <w:color w:val="auto"/>
          <w:sz w:val="36"/>
          <w:highlight w:val="none"/>
        </w:rPr>
      </w:pPr>
      <w:r>
        <w:rPr>
          <w:rFonts w:hint="eastAsia" w:ascii="宋体" w:hAnsi="宋体" w:cs="宋体"/>
          <w:color w:val="auto"/>
          <w:sz w:val="36"/>
          <w:highlight w:val="none"/>
        </w:rPr>
        <w:t xml:space="preserve">2025年</w:t>
      </w:r>
      <w:r>
        <w:rPr>
          <w:rFonts w:hint="eastAsia" w:ascii="宋体" w:hAnsi="宋体" w:cs="宋体"/>
          <w:color w:val="auto"/>
          <w:sz w:val="36"/>
          <w:highlight w:val="none"/>
          <w:lang w:val="en-US" w:eastAsia="zh-CN"/>
        </w:rPr>
        <w:t xml:space="preserve">11</w:t>
      </w:r>
      <w:r>
        <w:rPr>
          <w:rFonts w:hint="eastAsia" w:ascii="宋体" w:hAnsi="宋体" w:cs="宋体"/>
          <w:color w:val="auto"/>
          <w:sz w:val="36"/>
          <w:highlight w:val="none"/>
        </w:rPr>
        <w:t xml:space="preserve">月</w:t>
      </w:r>
      <w:r>
        <w:rPr>
          <w:rFonts w:hint="eastAsia" w:ascii="宋体" w:hAnsi="宋体" w:cs="宋体"/>
          <w:color w:val="auto"/>
          <w:sz w:val="36"/>
          <w:highlight w:val="none"/>
          <w:lang w:val="en-US" w:eastAsia="zh-CN"/>
        </w:rPr>
        <w:t xml:space="preserve">11</w:t>
      </w:r>
      <w:r>
        <w:rPr>
          <w:rFonts w:hint="eastAsia" w:ascii="宋体" w:hAnsi="宋体" w:cs="宋体"/>
          <w:color w:val="auto"/>
          <w:sz w:val="36"/>
          <w:highlight w:val="none"/>
        </w:rPr>
        <w:t xml:space="preserve">日</w:t>
      </w:r>
      <w:bookmarkEnd w:id="0"/>
      <w:r/>
      <w:r/>
    </w:p>
    <w:p>
      <w:pPr>
        <w:rPr>
          <w:color w:val="auto"/>
          <w:highlight w:val="none"/>
        </w:rPr>
      </w:pPr>
      <w:r>
        <w:rPr>
          <w:rFonts w:hint="eastAsia"/>
          <w:color w:val="auto"/>
          <w:highlight w:val="none"/>
        </w:rPr>
        <w:br w:type="page" w:clear="all"/>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17"/>
        <w:tabs>
          <w:tab w:val="right" w:pos="8306" w:leader="dot"/>
        </w:tabs>
        <w:rPr>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_Toc15611 \h </w:instrText>
      </w:r>
      <w:r>
        <w:rPr>
          <w:color w:val="auto"/>
          <w:highlight w:val="none"/>
        </w:rPr>
        <w:fldChar w:fldCharType="separate"/>
      </w:r>
      <w:r>
        <w:rPr>
          <w:color w:val="auto"/>
          <w:highlight w:val="none"/>
        </w:rPr>
        <w:t xml:space="preserve">3</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_Toc26283 \h </w:instrText>
      </w:r>
      <w:r>
        <w:rPr>
          <w:color w:val="auto"/>
          <w:highlight w:val="none"/>
        </w:rPr>
        <w:fldChar w:fldCharType="separate"/>
      </w:r>
      <w:r>
        <w:rPr>
          <w:color w:val="auto"/>
          <w:highlight w:val="none"/>
        </w:rPr>
        <w:t xml:space="preserve">7</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_Toc23216 \h </w:instrText>
      </w:r>
      <w:r>
        <w:rPr>
          <w:color w:val="auto"/>
          <w:highlight w:val="none"/>
        </w:rPr>
        <w:fldChar w:fldCharType="separate"/>
      </w:r>
      <w:r>
        <w:rPr>
          <w:color w:val="auto"/>
          <w:highlight w:val="none"/>
        </w:rPr>
        <w:t xml:space="preserve">17</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_Toc12671 \h </w:instrText>
      </w:r>
      <w:r>
        <w:rPr>
          <w:color w:val="auto"/>
          <w:highlight w:val="none"/>
        </w:rPr>
        <w:fldChar w:fldCharType="separate"/>
      </w:r>
      <w:r>
        <w:rPr>
          <w:color w:val="auto"/>
          <w:highlight w:val="none"/>
        </w:rPr>
        <w:t xml:space="preserve">30</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第五章 评审方法及评审标准</w:t>
      </w:r>
      <w:r>
        <w:rPr>
          <w:color w:val="auto"/>
          <w:highlight w:val="none"/>
        </w:rPr>
        <w:tab/>
      </w:r>
      <w:r>
        <w:rPr>
          <w:color w:val="auto"/>
          <w:highlight w:val="none"/>
        </w:rPr>
        <w:fldChar w:fldCharType="begin"/>
      </w:r>
      <w:r>
        <w:rPr>
          <w:color w:val="auto"/>
          <w:highlight w:val="none"/>
        </w:rPr>
        <w:instrText xml:space="preserve"> PAGEREF _Toc26539 \h </w:instrText>
      </w:r>
      <w:r>
        <w:rPr>
          <w:color w:val="auto"/>
          <w:highlight w:val="none"/>
        </w:rPr>
        <w:fldChar w:fldCharType="separate"/>
      </w:r>
      <w:r>
        <w:rPr>
          <w:color w:val="auto"/>
          <w:highlight w:val="none"/>
        </w:rPr>
        <w:t xml:space="preserve">35</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_Toc6227 \h </w:instrText>
      </w:r>
      <w:r>
        <w:rPr>
          <w:color w:val="auto"/>
          <w:highlight w:val="none"/>
        </w:rPr>
        <w:fldChar w:fldCharType="separate"/>
      </w:r>
      <w:r>
        <w:rPr>
          <w:color w:val="auto"/>
          <w:highlight w:val="none"/>
        </w:rPr>
        <w:t xml:space="preserve">39</w:t>
      </w:r>
      <w:r>
        <w:rPr>
          <w:color w:val="auto"/>
          <w:highlight w:val="none"/>
        </w:rPr>
        <w:fldChar w:fldCharType="end"/>
      </w:r>
      <w:r/>
    </w:p>
    <w:p>
      <w:pPr>
        <w:rPr>
          <w:rFonts w:hint="eastAsia" w:ascii="宋体" w:hAnsi="宋体" w:cs="宋体"/>
          <w:color w:val="auto"/>
          <w:highlight w:val="none"/>
        </w:rPr>
      </w:pPr>
      <w:r>
        <w:rPr>
          <w:rFonts w:hint="eastAsia" w:ascii="宋体" w:hAnsi="宋体" w:cs="宋体"/>
          <w:color w:val="auto"/>
          <w:highlight w:val="none"/>
        </w:rPr>
        <w:fldChar w:fldCharType="end"/>
      </w:r>
      <w:r/>
    </w:p>
    <w:p>
      <w:pPr>
        <w:rPr>
          <w:rFonts w:hint="eastAsia" w:ascii="宋体" w:hAnsi="宋体" w:cs="宋体"/>
          <w:color w:val="auto"/>
          <w:highlight w:val="none"/>
        </w:rPr>
      </w:pPr>
      <w:r>
        <w:rPr>
          <w:rFonts w:hint="eastAsia" w:ascii="宋体" w:hAnsi="宋体" w:cs="宋体"/>
          <w:color w:val="auto"/>
          <w:highlight w:val="none"/>
        </w:rPr>
        <w:br w:type="page" w:clear="all"/>
      </w:r>
      <w:r/>
    </w:p>
    <w:p>
      <w:pPr>
        <w:jc w:val="left"/>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r>
      <w:r/>
    </w:p>
    <w:p>
      <w:pPr>
        <w:pStyle w:val="692"/>
        <w:jc w:val="center"/>
        <w:spacing w:line="360" w:lineRule="auto"/>
        <w:rPr>
          <w:rFonts w:hint="eastAsia" w:ascii="宋体" w:hAnsi="宋体" w:cs="宋体"/>
          <w:color w:val="auto"/>
          <w:sz w:val="36"/>
          <w:szCs w:val="36"/>
          <w:highlight w:val="none"/>
        </w:rPr>
      </w:pPr>
      <w:r/>
      <w:bookmarkStart w:id="1" w:name="_Toc15611"/>
      <w:r>
        <w:rPr>
          <w:rFonts w:hint="eastAsia" w:ascii="宋体" w:hAnsi="宋体" w:cs="宋体"/>
          <w:color w:val="auto"/>
          <w:szCs w:val="36"/>
          <w:highlight w:val="none"/>
        </w:rPr>
        <w:t xml:space="preserve">第一章 竞争性磋商采购公告</w:t>
      </w:r>
      <w:bookmarkEnd w:id="1"/>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受扬州市食品产业园管理办公室（机关）的委托，江苏海红项目管理有限公司就意撒项目地块地下淤泥、杂土清运工程实施政府采购，本次采购采用竞争性磋商方式，欢迎符合条件的供应商参加磋商。</w:t>
      </w:r>
      <w:r/>
    </w:p>
    <w:p>
      <w:pPr>
        <w:ind w:firstLine="422"/>
        <w:spacing w:line="360" w:lineRule="auto"/>
        <w:rPr>
          <w:rFonts w:hint="eastAsia"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Cs w:val="21"/>
          <w:highlight w:val="none"/>
        </w:rPr>
        <w:t xml:space="preserve">项目概况：</w:t>
      </w:r>
      <w:r>
        <w:rPr>
          <w:rFonts w:hint="eastAsia" w:ascii="宋体" w:hAnsi="宋体" w:cs="宋体"/>
          <w:color w:val="auto"/>
          <w:szCs w:val="21"/>
          <w:highlight w:val="none"/>
          <w:u w:val="single"/>
        </w:rPr>
        <w:t xml:space="preserve">意撒项目地块地下淤泥、杂土清运工程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w:t>
      </w:r>
      <w:r>
        <w:rPr>
          <w:rFonts w:hint="eastAsia" w:ascii="宋体" w:hAnsi="宋体" w:cs="宋体"/>
          <w:color w:val="auto"/>
          <w:szCs w:val="21"/>
          <w:highlight w:val="none"/>
          <w:u w:val="single"/>
          <w:lang w:eastAsia="zh-CN"/>
        </w:rPr>
        <w:t xml:space="preserve">“扬州市广陵区政府采购网”、“扬州市政府采购网”、“江苏省政府采购网”</w:t>
      </w:r>
      <w:r>
        <w:rPr>
          <w:rFonts w:hint="eastAsia" w:ascii="宋体" w:hAnsi="宋体" w:cs="宋体"/>
          <w:color w:val="auto"/>
          <w:szCs w:val="21"/>
          <w:highlight w:val="none"/>
          <w:u w:val="single"/>
        </w:rPr>
        <w:t xml:space="preserve">自行免费下载</w:t>
      </w:r>
      <w:r>
        <w:rPr>
          <w:rFonts w:hint="eastAsia" w:ascii="宋体" w:hAnsi="宋体" w:cs="宋体"/>
          <w:color w:val="auto"/>
          <w:szCs w:val="21"/>
          <w:highlight w:val="none"/>
        </w:rPr>
        <w:t xml:space="preserve">采购文件，并于</w:t>
      </w:r>
      <w:bookmarkStart w:id="2" w:name="XMTBJSR_1"/>
      <w:r>
        <w:rPr>
          <w:rFonts w:hint="eastAsia" w:ascii="宋体" w:hAnsi="宋体" w:cs="宋体"/>
          <w:bCs/>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25</w:t>
      </w:r>
      <w:r>
        <w:rPr>
          <w:rFonts w:hint="eastAsia" w:ascii="宋体" w:hAnsi="宋体" w:cs="宋体"/>
          <w:color w:val="auto"/>
          <w:szCs w:val="21"/>
          <w:highlight w:val="none"/>
          <w:u w:val="single"/>
        </w:rPr>
        <w:t xml:space="preserve">日</w:t>
      </w:r>
      <w:r>
        <w:rPr>
          <w:rFonts w:ascii="宋体" w:hAnsi="宋体" w:cs="宋体"/>
          <w:bCs/>
          <w:color w:val="auto"/>
          <w:szCs w:val="21"/>
          <w:highlight w:val="none"/>
          <w:u w:val="single"/>
        </w:rPr>
        <w:t xml:space="preserve">14</w:t>
      </w:r>
      <w:r>
        <w:rPr>
          <w:rFonts w:hint="eastAsia" w:ascii="宋体" w:hAnsi="宋体" w:cs="宋体"/>
          <w:bCs/>
          <w:color w:val="auto"/>
          <w:szCs w:val="21"/>
          <w:highlight w:val="none"/>
          <w:u w:val="single"/>
        </w:rPr>
        <w:t xml:space="preserve">点30分</w:t>
      </w:r>
      <w:bookmarkEnd w:id="2"/>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spacing w:line="360" w:lineRule="auto"/>
        <w:rPr>
          <w:rFonts w:hint="eastAsia" w:ascii="宋体" w:hAnsi="宋体" w:cs="宋体"/>
          <w:b/>
          <w:bCs/>
          <w:color w:val="auto"/>
          <w:szCs w:val="21"/>
          <w:highlight w:val="none"/>
        </w:rPr>
      </w:pPr>
      <w:r/>
      <w:bookmarkStart w:id="3" w:name="_Toc109304963"/>
      <w:r>
        <w:rPr>
          <w:rFonts w:hint="eastAsia" w:ascii="宋体" w:hAnsi="宋体" w:cs="宋体"/>
          <w:b/>
          <w:bCs/>
          <w:color w:val="auto"/>
          <w:szCs w:val="21"/>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JSZC-321002-JSHH-C2025-0006</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2.项目名称：意撒项目地块地下淤泥、杂土清运工程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4.预算金额：150万元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最高投标限价：</w:t>
      </w:r>
      <w:r>
        <w:rPr>
          <w:rFonts w:hint="eastAsia" w:ascii="宋体" w:hAnsi="宋体" w:cs="宋体"/>
          <w:color w:val="auto"/>
          <w:szCs w:val="21"/>
          <w:highlight w:val="none"/>
          <w:lang w:eastAsia="zh-CN"/>
        </w:rPr>
        <w:t xml:space="preserve">1493543.75元</w:t>
      </w:r>
      <w:r>
        <w:rPr>
          <w:rFonts w:hint="eastAsia" w:ascii="宋体" w:hAnsi="宋体" w:cs="宋体"/>
          <w:color w:val="auto"/>
          <w:szCs w:val="21"/>
          <w:highlight w:val="none"/>
        </w:rPr>
        <w:t xml:space="preserve">，超过最高投标限价的视为为无效报价，按照无效响应处理。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5.采购需求：见磋商文件第四章</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6.合同履行期限：合同签订后30日历天内完成整个工程的工程量并且合格，可交付采购人竣工验收投入使用。具体开工日期以开工令为准。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不接收</w:t>
      </w:r>
      <w:r>
        <w:rPr>
          <w:rFonts w:hint="eastAsia" w:ascii="宋体" w:hAnsi="宋体" w:cs="宋体"/>
          <w:color w:val="auto"/>
          <w:szCs w:val="21"/>
          <w:highlight w:val="none"/>
        </w:rPr>
        <w:t xml:space="preserve">联合体响应。</w:t>
      </w:r>
      <w:r/>
    </w:p>
    <w:p>
      <w:pPr>
        <w:spacing w:line="360" w:lineRule="auto"/>
        <w:rPr>
          <w:rFonts w:hint="eastAsia" w:ascii="宋体" w:hAnsi="宋体" w:cs="宋体"/>
          <w:b/>
          <w:bCs/>
          <w:color w:val="auto"/>
          <w:szCs w:val="21"/>
          <w:highlight w:val="none"/>
        </w:rPr>
      </w:pPr>
      <w:r/>
      <w:bookmarkStart w:id="4" w:name="_Toc109304964"/>
      <w:r>
        <w:rPr>
          <w:rFonts w:hint="eastAsia" w:ascii="宋体" w:hAnsi="宋体" w:cs="宋体"/>
          <w:b/>
          <w:bCs/>
          <w:color w:val="auto"/>
          <w:szCs w:val="21"/>
          <w:highlight w:val="none"/>
        </w:rPr>
        <w:t xml:space="preserve">二、申请人的资格要求：</w:t>
      </w:r>
      <w:bookmarkEnd w:id="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w:t>
      </w:r>
      <w:r>
        <w:rPr>
          <w:rFonts w:hint="eastAsia" w:ascii="宋体" w:hAnsi="宋体" w:cs="宋体"/>
          <w:b/>
          <w:bCs/>
          <w:i/>
          <w:iCs/>
          <w:color w:val="auto"/>
          <w:szCs w:val="21"/>
          <w:highlight w:val="none"/>
          <w:u w:val="single"/>
          <w:lang w:val="en-US" w:eastAsia="zh-CN"/>
        </w:rPr>
        <w:t xml:space="preserve">近</w:t>
      </w:r>
      <w:r>
        <w:rPr>
          <w:rFonts w:hint="eastAsia" w:ascii="宋体" w:hAnsi="宋体" w:cs="宋体"/>
          <w:b/>
          <w:bCs/>
          <w:i/>
          <w:iCs/>
          <w:color w:val="auto"/>
          <w:szCs w:val="21"/>
          <w:highlight w:val="none"/>
          <w:u w:val="single"/>
        </w:rPr>
        <w:t xml:space="preserve">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w:t>
      </w:r>
      <w:r>
        <w:rPr>
          <w:rFonts w:hint="eastAsia" w:ascii="宋体" w:hAnsi="宋体" w:cs="宋体"/>
          <w:i/>
          <w:iCs/>
          <w:color w:val="auto"/>
          <w:szCs w:val="21"/>
          <w:highlight w:val="none"/>
          <w:u w:val="single"/>
          <w:lang w:val="en-US" w:eastAsia="zh-CN"/>
        </w:rPr>
        <w:t xml:space="preserve">近</w:t>
      </w:r>
      <w:r>
        <w:rPr>
          <w:rFonts w:hint="eastAsia" w:ascii="宋体" w:hAnsi="宋体" w:cs="宋体"/>
          <w:i/>
          <w:iCs/>
          <w:color w:val="auto"/>
          <w:szCs w:val="21"/>
          <w:highlight w:val="none"/>
          <w:u w:val="single"/>
        </w:rPr>
        <w:t xml:space="preserve">一年内任意一个月依法纳税的缴款凭证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i/>
          <w:iCs/>
          <w:color w:val="auto"/>
          <w:highlight w:val="none"/>
          <w:u w:val="single"/>
        </w:rPr>
        <w:t xml:space="preserve">本项目专门面向中小企业采购，供应商须提供《中小企业声明函》。</w:t>
      </w:r>
      <w:r/>
    </w:p>
    <w:p>
      <w:pPr>
        <w:ind w:firstLine="42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w:t>
      </w:r>
      <w:r>
        <w:rPr>
          <w:rFonts w:ascii="宋体" w:hAnsi="宋体" w:cs="宋体"/>
          <w:i/>
          <w:iCs/>
          <w:color w:val="auto"/>
          <w:szCs w:val="21"/>
          <w:highlight w:val="none"/>
          <w:u w:val="single"/>
        </w:rPr>
        <w:t xml:space="preserve">.1</w:t>
      </w:r>
      <w:r>
        <w:rPr>
          <w:rFonts w:hint="eastAsia" w:ascii="宋体" w:hAnsi="宋体" w:cs="宋体"/>
          <w:i/>
          <w:iCs/>
          <w:color w:val="auto"/>
          <w:szCs w:val="21"/>
          <w:highlight w:val="none"/>
          <w:u w:val="single"/>
        </w:rPr>
        <w:t xml:space="preserve">供应商须具有有效期内的建筑工程施工总承包三级及以上资质</w:t>
      </w:r>
      <w:r>
        <w:rPr>
          <w:rFonts w:hint="eastAsia" w:ascii="宋体" w:hAnsi="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w:t>
      </w:r>
      <w:r>
        <w:rPr>
          <w:rFonts w:ascii="宋体" w:hAnsi="宋体" w:cs="宋体"/>
          <w:i/>
          <w:iCs/>
          <w:color w:val="auto"/>
          <w:szCs w:val="21"/>
          <w:highlight w:val="none"/>
          <w:u w:val="single"/>
        </w:rPr>
        <w:t xml:space="preserve">.2</w:t>
      </w:r>
      <w:r>
        <w:rPr>
          <w:rFonts w:hint="eastAsia" w:ascii="宋体" w:hAnsi="宋体" w:cs="宋体"/>
          <w:i/>
          <w:iCs/>
          <w:color w:val="auto"/>
          <w:szCs w:val="21"/>
          <w:highlight w:val="none"/>
          <w:u w:val="single"/>
        </w:rPr>
        <w:t xml:space="preserve">供应商具备安全生产条件，并取得有效期内的安全生产许可证</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w:t>
      </w:r>
      <w:r>
        <w:rPr>
          <w:rFonts w:ascii="宋体" w:hAnsi="宋体" w:cs="宋体"/>
          <w:i/>
          <w:iCs/>
          <w:color w:val="auto"/>
          <w:szCs w:val="21"/>
          <w:highlight w:val="none"/>
          <w:u w:val="single"/>
        </w:rPr>
        <w:t xml:space="preserve">.3</w:t>
      </w:r>
      <w:r>
        <w:rPr>
          <w:rFonts w:hint="eastAsia" w:ascii="宋体" w:hAnsi="宋体" w:cs="宋体"/>
          <w:i/>
          <w:iCs/>
          <w:color w:val="auto"/>
          <w:szCs w:val="21"/>
          <w:highlight w:val="none"/>
          <w:u w:val="single"/>
        </w:rPr>
        <w:t xml:space="preserve">拟派项目经理为本公司正式员工，正常缴纳社会保险，具备有效期内的建筑工程专业二级注册建造师及以上资质且具有有效的安全生产考核合格证（B类证）、项目经理无在建工程</w:t>
      </w:r>
      <w:r>
        <w:rPr>
          <w:rFonts w:hint="eastAsia" w:ascii="宋体" w:hAnsi="宋体" w:cs="宋体"/>
          <w:b/>
          <w:bCs/>
          <w:i/>
          <w:iCs/>
          <w:color w:val="auto"/>
          <w:szCs w:val="21"/>
          <w:highlight w:val="none"/>
          <w:u w:val="single"/>
        </w:rPr>
        <w:t xml:space="preserve">(提供供应商为其缴纳的近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内任意一个月的社保证明，证书原件、社保证明、项目经理无在建工程承诺书原件扫描上传）</w:t>
      </w:r>
      <w:bookmarkStart w:id="5" w:name="_Toc109304965"/>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5"/>
      <w:r/>
      <w:r/>
    </w:p>
    <w:p>
      <w:pPr>
        <w:ind w:firstLine="54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540"/>
        <w:spacing w:line="360" w:lineRule="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54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rPr>
          <w:rFonts w:hint="eastAsia" w:ascii="宋体" w:hAnsi="宋体" w:cs="宋体"/>
          <w:b/>
          <w:bCs/>
          <w:color w:val="auto"/>
          <w:szCs w:val="21"/>
          <w:highlight w:val="none"/>
        </w:rPr>
      </w:pPr>
      <w:r/>
      <w:bookmarkStart w:id="6" w:name="_Toc109304966"/>
      <w:r>
        <w:rPr>
          <w:rFonts w:hint="eastAsia" w:ascii="宋体" w:hAnsi="宋体" w:cs="宋体"/>
          <w:b/>
          <w:bCs/>
          <w:color w:val="auto"/>
          <w:szCs w:val="21"/>
          <w:highlight w:val="none"/>
        </w:rPr>
        <w:t xml:space="preserve">四、响应文件提交</w:t>
      </w:r>
      <w:bookmarkEnd w:id="6"/>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bookmarkStart w:id="7" w:name="XMTBJSR_2"/>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25</w:t>
      </w:r>
      <w:r>
        <w:rPr>
          <w:rFonts w:hint="eastAsia" w:ascii="宋体" w:hAnsi="宋体" w:cs="宋体"/>
          <w:color w:val="auto"/>
          <w:szCs w:val="21"/>
          <w:highlight w:val="none"/>
          <w:u w:val="single"/>
        </w:rPr>
        <w:t xml:space="preserve">日</w:t>
      </w:r>
      <w:r>
        <w:rPr>
          <w:rFonts w:ascii="宋体" w:hAnsi="宋体" w:cs="宋体"/>
          <w:color w:val="auto"/>
          <w:szCs w:val="21"/>
          <w:highlight w:val="none"/>
          <w:u w:val="single"/>
        </w:rPr>
        <w:t xml:space="preserve">14</w:t>
      </w:r>
      <w:r>
        <w:rPr>
          <w:rFonts w:hint="eastAsia" w:ascii="宋体" w:hAnsi="宋体" w:cs="宋体"/>
          <w:color w:val="auto"/>
          <w:szCs w:val="21"/>
          <w:highlight w:val="none"/>
          <w:u w:val="single"/>
        </w:rPr>
        <w:t xml:space="preserve">点30分</w:t>
      </w:r>
      <w:bookmarkEnd w:id="7"/>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2.投标地点：“苏采云”系统（网址：http://jszfcg.jsczt.cn/）</w:t>
      </w:r>
      <w:r/>
    </w:p>
    <w:p>
      <w:pPr>
        <w:spacing w:line="360" w:lineRule="auto"/>
        <w:rPr>
          <w:rFonts w:hint="eastAsia" w:ascii="宋体" w:hAnsi="宋体" w:cs="宋体"/>
          <w:b/>
          <w:bCs/>
          <w:color w:val="auto"/>
          <w:szCs w:val="21"/>
          <w:highlight w:val="none"/>
        </w:rPr>
      </w:pPr>
      <w:r/>
      <w:bookmarkStart w:id="8" w:name="_Toc109304967"/>
      <w:r>
        <w:rPr>
          <w:rFonts w:hint="eastAsia" w:ascii="宋体" w:hAnsi="宋体" w:cs="宋体"/>
          <w:b/>
          <w:bCs/>
          <w:color w:val="auto"/>
          <w:szCs w:val="21"/>
          <w:highlight w:val="none"/>
        </w:rPr>
        <w:t xml:space="preserve">五、开启</w:t>
      </w:r>
      <w:bookmarkEnd w:id="8"/>
      <w:r/>
      <w:r/>
    </w:p>
    <w:p>
      <w:pPr>
        <w:pStyle w:val="705"/>
        <w:spacing w:line="360" w:lineRule="auto"/>
        <w:tabs>
          <w:tab w:val="right" w:pos="8306"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25</w:t>
      </w:r>
      <w:r>
        <w:rPr>
          <w:rFonts w:hint="eastAsia" w:ascii="宋体" w:hAnsi="宋体" w:cs="宋体"/>
          <w:color w:val="auto"/>
          <w:szCs w:val="21"/>
          <w:highlight w:val="none"/>
          <w:u w:val="single"/>
        </w:rPr>
        <w:t xml:space="preserve">日</w:t>
      </w:r>
      <w:r>
        <w:rPr>
          <w:rFonts w:ascii="宋体" w:hAnsi="宋体" w:cs="宋体"/>
          <w:color w:val="auto"/>
          <w:szCs w:val="21"/>
          <w:highlight w:val="none"/>
          <w:u w:val="single"/>
        </w:rPr>
        <w:t xml:space="preserve">14</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rPr>
        <w:t xml:space="preserve">（北京时间）</w:t>
      </w:r>
      <w: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w:t>
      </w:r>
      <w:r>
        <w:rPr>
          <w:rFonts w:hint="eastAsia" w:ascii="宋体" w:hAnsi="宋体" w:cs="宋体"/>
          <w:bCs/>
          <w:color w:val="auto"/>
          <w:szCs w:val="21"/>
          <w:highlight w:val="none"/>
        </w:rPr>
        <w:t xml:space="preserve">扬州市公共资源交易中心广陵分中心开标室</w:t>
      </w:r>
      <w:r/>
    </w:p>
    <w:p>
      <w:pPr>
        <w:spacing w:line="360" w:lineRule="auto"/>
        <w:rPr>
          <w:rFonts w:hint="eastAsia" w:ascii="宋体" w:hAnsi="宋体" w:cs="宋体"/>
          <w:b/>
          <w:bCs/>
          <w:color w:val="auto"/>
          <w:szCs w:val="21"/>
          <w:highlight w:val="none"/>
        </w:rPr>
      </w:pPr>
      <w:r/>
      <w:bookmarkStart w:id="9" w:name="_Toc109304968"/>
      <w:r>
        <w:rPr>
          <w:rFonts w:hint="eastAsia" w:ascii="宋体" w:hAnsi="宋体" w:cs="宋体"/>
          <w:b/>
          <w:bCs/>
          <w:color w:val="auto"/>
          <w:szCs w:val="21"/>
          <w:highlight w:val="none"/>
        </w:rPr>
        <w:t xml:space="preserve">六、公告期限</w:t>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b/>
          <w:bCs/>
          <w:color w:val="auto"/>
          <w:szCs w:val="21"/>
          <w:highlight w:val="none"/>
        </w:rPr>
      </w:pPr>
      <w:r/>
      <w:bookmarkStart w:id="10" w:name="_Toc109304969"/>
      <w:r>
        <w:rPr>
          <w:rFonts w:hint="eastAsia" w:ascii="宋体" w:hAnsi="宋体" w:cs="宋体"/>
          <w:b/>
          <w:bCs/>
          <w:color w:val="auto"/>
          <w:szCs w:val="21"/>
          <w:highlight w:val="none"/>
        </w:rPr>
        <w:t xml:space="preserve">七、其他补充事宜</w:t>
      </w:r>
      <w:bookmarkEnd w:id="10"/>
      <w:r/>
      <w:r/>
    </w:p>
    <w:p>
      <w:pPr>
        <w:ind w:firstLine="422"/>
        <w:spacing w:line="360" w:lineRule="auto"/>
        <w:rPr>
          <w:rFonts w:hint="eastAsia" w:ascii="宋体" w:hAnsi="宋体" w:cs="宋体"/>
          <w:b/>
          <w:bCs/>
          <w:color w:val="auto"/>
          <w:highlight w:val="none"/>
        </w:rPr>
      </w:pPr>
      <w:r/>
      <w:bookmarkStart w:id="11" w:name="_Toc109304970"/>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w:t>
      </w:r>
      <w:bookmarkStart w:id="12" w:name="_Hlk138606118"/>
      <w:r>
        <w:rPr>
          <w:rFonts w:ascii="宋体" w:hAnsi="宋体" w:cs="宋体"/>
          <w:b/>
          <w:bCs/>
          <w:color w:val="auto"/>
          <w:highlight w:val="none"/>
        </w:rPr>
        <w:t xml:space="preserve">13813140731</w:t>
      </w:r>
      <w:bookmarkEnd w:id="12"/>
      <w:r>
        <w:rPr>
          <w:rFonts w:hint="eastAsia" w:ascii="宋体" w:hAnsi="宋体" w:cs="宋体"/>
          <w:b/>
          <w:bCs/>
          <w:color w:val="auto"/>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bCs/>
          <w:color w:val="auto"/>
          <w:highlight w:val="none"/>
          <w:lang w:eastAsia="zh-CN"/>
        </w:rPr>
        <w:t xml:space="preserve">“扬州市广陵区政府采购网”、“扬州市政府采购网”、“江苏省政府采购网”</w:t>
      </w:r>
      <w:r>
        <w:rPr>
          <w:rFonts w:hint="eastAsia" w:ascii="宋体" w:hAnsi="宋体" w:cs="宋体"/>
          <w:bCs/>
          <w:color w:val="auto"/>
          <w:highlight w:val="none"/>
        </w:rPr>
        <w:t xml:space="preserve">发布的信息。</w:t>
      </w:r>
      <w:r/>
    </w:p>
    <w:p>
      <w:pPr>
        <w:ind w:firstLine="422"/>
        <w:spacing w:line="360" w:lineRule="auto"/>
        <w:rPr>
          <w:rFonts w:hint="eastAsia" w:ascii="宋体" w:hAnsi="宋体" w:cs="宋体"/>
          <w:b/>
          <w:i/>
          <w:iCs/>
          <w:color w:val="auto"/>
          <w:highlight w:val="none"/>
          <w:u w:val="singl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360" w:lineRule="auto"/>
        <w:rPr>
          <w:rFonts w:hint="eastAsia" w:ascii="宋体" w:hAnsi="宋体" w:cs="宋体"/>
          <w:bCs/>
          <w:color w:val="auto"/>
          <w:highlight w:val="none"/>
        </w:rPr>
      </w:pPr>
      <w:r>
        <w:rPr>
          <w:rFonts w:ascii="宋体" w:hAnsi="宋体" w:cs="宋体"/>
          <w:bCs/>
          <w:color w:val="auto"/>
          <w:highlight w:val="none"/>
        </w:rPr>
        <w:t xml:space="preserve">8.</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w:t>
      </w:r>
      <w:r>
        <w:rPr>
          <w:rFonts w:ascii="宋体" w:hAnsi="宋体" w:cs="宋体"/>
          <w:bCs/>
          <w:color w:val="auto"/>
          <w:highlight w:val="none"/>
        </w:rPr>
        <w:t xml:space="preserve">.</w:t>
      </w:r>
      <w:r>
        <w:rPr>
          <w:rFonts w:hint="eastAsia" w:ascii="宋体" w:hAnsi="宋体" w:cs="宋体"/>
          <w:bCs/>
          <w:color w:val="auto"/>
          <w:highlight w:val="none"/>
        </w:rPr>
        <w:t xml:space="preserve"> 请各供应商授权代表在开（评）标活动当天保持手机畅通，供应商联系不上的，由供应商自行承担相关后果。</w:t>
      </w:r>
      <w:r/>
    </w:p>
    <w:p>
      <w:pPr>
        <w:pStyle w:val="711"/>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10、落实好政府采购履约资金扶持政策。中标/成交供应商可凭政府采购合同办理融资贷款，详见江苏政府采购网“政采贷”专栏”。</w:t>
      </w:r>
      <w:r/>
    </w:p>
    <w:p>
      <w:pPr>
        <w:pStyle w:val="711"/>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11"/>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12、严格执行政府采购关于支持</w:t>
      </w:r>
      <w:r>
        <w:rPr>
          <w:rFonts w:hint="eastAsia"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1"/>
        <w:ind w:firstLine="402"/>
        <w:spacing w:line="360" w:lineRule="auto"/>
        <w:rPr>
          <w:rFonts w:hint="eastAsia" w:hAnsi="宋体" w:cs="宋体"/>
          <w:b/>
          <w:color w:val="auto"/>
          <w:highlight w:val="none"/>
        </w:rPr>
      </w:pPr>
      <w:r>
        <w:rPr>
          <w:rFonts w:hint="eastAsia" w:hAnsi="宋体" w:cs="宋体"/>
          <w:b/>
          <w:bCs/>
          <w:color w:val="auto"/>
          <w:szCs w:val="21"/>
          <w:highlight w:val="none"/>
        </w:rPr>
        <w:t xml:space="preserve">13、供应商对于投标产品的包装应按照“财办库〔2020〕123号《关于印发《商品包装政府采购需求标准（试行）》、《快递包装政府采购需求标准（试行）》的通知》”执行。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八、本次竞争性磋商联系方式</w:t>
      </w:r>
      <w:bookmarkEnd w:id="11"/>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1.采购人信息</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名    称：扬州市食品产业园管理办公室（机关）</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地    址：扬州市广陵区临江路205号</w:t>
      </w:r>
      <w:r/>
    </w:p>
    <w:p>
      <w:pPr>
        <w:pStyle w:val="711"/>
        <w:ind w:firstLine="400"/>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 xml:space="preserve">联 系 人：</w:t>
      </w:r>
      <w:r>
        <w:rPr>
          <w:rFonts w:hint="eastAsia" w:hAnsi="宋体" w:cs="宋体"/>
          <w:color w:val="auto"/>
          <w:szCs w:val="21"/>
          <w:highlight w:val="none"/>
          <w:lang w:eastAsia="zh-CN"/>
        </w:rPr>
        <w:t xml:space="preserve">赵阳</w:t>
      </w:r>
      <w:r/>
    </w:p>
    <w:p>
      <w:pPr>
        <w:pStyle w:val="711"/>
        <w:ind w:firstLine="400"/>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rPr>
        <w:t xml:space="preserve">联系方式：</w:t>
      </w:r>
      <w:r>
        <w:rPr>
          <w:rFonts w:hint="eastAsia" w:hAnsi="宋体" w:cs="宋体"/>
          <w:color w:val="auto"/>
          <w:szCs w:val="21"/>
          <w:highlight w:val="none"/>
          <w:lang w:val="en-US" w:eastAsia="zh-CN"/>
        </w:rPr>
        <w:t xml:space="preserve">80987155</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2.招标代理机构信息</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名    称：</w:t>
      </w:r>
      <w:bookmarkStart w:id="13" w:name="OLE_LINK1"/>
      <w:r>
        <w:rPr>
          <w:rFonts w:hint="eastAsia" w:hAnsi="宋体" w:cs="宋体"/>
          <w:color w:val="auto"/>
          <w:szCs w:val="21"/>
          <w:highlight w:val="none"/>
        </w:rPr>
        <w:t xml:space="preserve">江苏海红项目管理有限公司</w:t>
      </w:r>
      <w:bookmarkEnd w:id="13"/>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地　　址：扬州市邗江区邗江中路382号月城明珠园1栋415室—418室</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联 系 人：徐工</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联系方式：</w:t>
      </w:r>
      <w:r>
        <w:rPr>
          <w:rFonts w:hAnsi="宋体" w:cs="宋体"/>
          <w:color w:val="auto"/>
          <w:szCs w:val="21"/>
          <w:highlight w:val="none"/>
        </w:rPr>
        <w:t xml:space="preserve">0514-87978933</w:t>
      </w:r>
      <w:r>
        <w:rPr>
          <w:rFonts w:hint="eastAsia" w:hAnsi="宋体" w:cs="宋体"/>
          <w:color w:val="auto"/>
          <w:szCs w:val="21"/>
          <w:highlight w:val="none"/>
        </w:rPr>
        <w:t xml:space="preserve"> </w:t>
      </w:r>
      <w:r>
        <w:rPr>
          <w:rFonts w:hint="eastAsia" w:hAnsi="宋体" w:cs="宋体"/>
          <w:color w:val="auto"/>
          <w:szCs w:val="21"/>
          <w:highlight w:val="none"/>
        </w:rPr>
        <w:br w:type="page" w:clear="all"/>
      </w:r>
      <w:r/>
    </w:p>
    <w:p>
      <w:pPr>
        <w:pStyle w:val="692"/>
        <w:jc w:val="center"/>
        <w:spacing w:line="360" w:lineRule="auto"/>
        <w:rPr>
          <w:rFonts w:hint="eastAsia" w:ascii="宋体" w:hAnsi="宋体" w:cs="宋体"/>
          <w:color w:val="auto"/>
          <w:highlight w:val="none"/>
        </w:rPr>
      </w:pPr>
      <w:r/>
      <w:bookmarkStart w:id="14" w:name="_Toc26283"/>
      <w:r>
        <w:rPr>
          <w:rFonts w:hint="eastAsia" w:ascii="宋体" w:hAnsi="宋体" w:cs="宋体"/>
          <w:color w:val="auto"/>
          <w:highlight w:val="none"/>
        </w:rPr>
        <w:t xml:space="preserve">第二章 磋商须知</w:t>
      </w:r>
      <w:bookmarkEnd w:id="14"/>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1.1本次采购采取竞争性磋商方式，本采购文件仅适用于</w:t>
      </w:r>
      <w:r>
        <w:rPr>
          <w:rFonts w:hint="eastAsia" w:ascii="宋体" w:hAnsi="宋体" w:cs="宋体"/>
          <w:color w:val="auto"/>
          <w:highlight w:val="none"/>
          <w:lang w:eastAsia="zh-CN"/>
        </w:rPr>
        <w:t xml:space="preserve">JSZC-321002-JSHH-C2025-0006</w:t>
      </w:r>
      <w:r>
        <w:rPr>
          <w:rFonts w:hint="eastAsia" w:ascii="宋体" w:hAnsi="宋体" w:cs="宋体"/>
          <w:color w:val="auto"/>
          <w:highlight w:val="none"/>
        </w:rPr>
        <w:t xml:space="preserve">号项目。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供应商应自行承担所有与参加磋商有关的费用，无论磋商过程中的做法和结果如何，江苏海红项目管理有限公司(以下简称代理机构)在任何情况下均无义务和责任承担这些费用。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4.2</w:t>
      </w:r>
      <w:bookmarkStart w:id="15" w:name="_Hlk115095815"/>
      <w:r>
        <w:rPr>
          <w:rFonts w:hint="eastAsia" w:ascii="宋体" w:hAnsi="宋体" w:cs="宋体"/>
          <w:color w:val="auto"/>
          <w:highlight w:val="none"/>
        </w:rPr>
        <w:t xml:space="preserve">本次采购由成交单位在领取成交通知书前按《招标代理服务收费管理暂行办法》计价格[2002]1980号文及发改价格[2011]534号文工程类收费标准一次性支付给招标代理机构代理服务费。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专家评审费按扬财购【2020】40号文《关于进一步规范扬州市政府采购专家评审费标准的通知》执行。</w:t>
      </w:r>
      <w:bookmarkEnd w:id="15"/>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“扬州市广陵区政府采购网”、“扬州市政府采购网”、“江苏省政府采购网”</w:t>
      </w:r>
      <w:r>
        <w:rPr>
          <w:rFonts w:hint="eastAsia" w:ascii="宋体" w:hAnsi="宋体" w:cs="宋体"/>
          <w:color w:val="auto"/>
          <w:highlight w:val="none"/>
        </w:rPr>
        <w:t xml:space="preserve">公布，补充文件将作为采购文件的组成部分，并对供应商具有约束力。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highlight w:val="none"/>
        </w:rPr>
      </w:pPr>
      <w:r/>
      <w:bookmarkStart w:id="16" w:name="_Toc20823297"/>
      <w:r/>
      <w:bookmarkStart w:id="17" w:name="_Toc16938541"/>
      <w:r>
        <w:rPr>
          <w:rFonts w:hint="eastAsia" w:ascii="宋体" w:hAnsi="宋体" w:cs="宋体"/>
          <w:color w:val="auto"/>
          <w:highlight w:val="none"/>
        </w:rPr>
        <w:t xml:space="preserve">17、响应文件</w:t>
      </w:r>
      <w:bookmarkEnd w:id="16"/>
      <w:r/>
      <w:bookmarkEnd w:id="17"/>
      <w:r>
        <w:rPr>
          <w:rFonts w:hint="eastAsia" w:ascii="宋体" w:hAnsi="宋体" w:cs="宋体"/>
          <w:color w:val="auto"/>
          <w:highlight w:val="none"/>
        </w:rPr>
        <w:t xml:space="preserve">的递交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8" w:name="_Toc20823298"/>
      <w:r/>
      <w:bookmarkStart w:id="19" w:name="_Toc169385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spacing w:line="360" w:lineRule="auto"/>
        <w:rPr>
          <w:rFonts w:hint="eastAsia"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18"/>
      <w:r/>
      <w:bookmarkEnd w:id="19"/>
      <w:r/>
      <w:r/>
    </w:p>
    <w:p>
      <w:pPr>
        <w:ind w:firstLine="420"/>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highlight w:val="none"/>
        </w:rPr>
      </w:pPr>
      <w:r/>
      <w:bookmarkStart w:id="20" w:name="_Toc16938543"/>
      <w:r/>
      <w:bookmarkStart w:id="21" w:name="_Toc20823299"/>
      <w:r>
        <w:rPr>
          <w:rFonts w:hint="eastAsia" w:ascii="宋体" w:hAnsi="宋体" w:cs="宋体"/>
          <w:color w:val="auto"/>
          <w:highlight w:val="none"/>
        </w:rPr>
        <w:t xml:space="preserve">19、响应文件</w:t>
      </w:r>
      <w:bookmarkEnd w:id="20"/>
      <w:r/>
      <w:bookmarkEnd w:id="21"/>
      <w:r>
        <w:rPr>
          <w:rFonts w:hint="eastAsia" w:ascii="宋体" w:hAnsi="宋体" w:cs="宋体"/>
          <w:color w:val="auto"/>
          <w:highlight w:val="none"/>
        </w:rPr>
        <w:t xml:space="preserve">的拒收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highlight w:val="none"/>
        </w:rPr>
      </w:pPr>
      <w:r/>
      <w:bookmarkStart w:id="22" w:name="_Toc20823300"/>
      <w:r/>
      <w:bookmarkStart w:id="23" w:name="_Toc16938544"/>
      <w:r>
        <w:rPr>
          <w:rFonts w:hint="eastAsia" w:ascii="宋体" w:hAnsi="宋体" w:cs="宋体"/>
          <w:color w:val="auto"/>
          <w:highlight w:val="none"/>
        </w:rPr>
        <w:t xml:space="preserve">20、响应文件的撤回和修改</w:t>
      </w:r>
      <w:bookmarkEnd w:id="22"/>
      <w:r/>
      <w:bookmarkEnd w:id="23"/>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27.1.9 其他法律、法规及本采购文件规定的属无效响应的情形。</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 异常低价投标（响应）</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27.3.1投标（响应）报价低于采购项目预算 50% 的，即投标（响应）报价&lt;采购项目预算×50% ；</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27.3.2投标（响应）报价低于采购项目最高限价 45% 的，即投标（响应）报价&lt;采购项目最高限价×45% ；</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27.3.3评审委员会认定的供应商报价过低、有可能影响产品质量或者不能诚信履约的其他情形。</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28.2采购人应根据磋商推荐的成交候选人，按照排序由高到低的原件确定成交供应商。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代理机构将在“扬州市政府采购网”、”江苏省政府采购网”发布成交公告，公告期限为1个工作日。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rPr>
          <w:rFonts w:hint="eastAsia" w:ascii="宋体" w:hAnsi="宋体" w:cs="宋体"/>
          <w:color w:val="auto"/>
          <w:highlight w:val="none"/>
        </w:rPr>
        <w:br/>
      </w:r>
      <w:r>
        <w:rPr>
          <w:rFonts w:hint="eastAsia" w:ascii="宋体" w:hAnsi="宋体" w:cs="宋体"/>
          <w:color w:val="auto"/>
          <w:highlight w:val="none"/>
        </w:rPr>
        <w:t xml:space="preserve">    29.2.2对采购过程提出质疑的，为各采购程序环节结束之日起7个工作日内提出。</w:t>
      </w:r>
      <w:r>
        <w:rPr>
          <w:rFonts w:hint="eastAsia" w:ascii="宋体" w:hAnsi="宋体" w:cs="宋体"/>
          <w:color w:val="auto"/>
          <w:highlight w:val="none"/>
        </w:rPr>
        <w:br/>
      </w:r>
      <w:r>
        <w:rPr>
          <w:rFonts w:hint="eastAsia" w:ascii="宋体" w:hAnsi="宋体" w:cs="宋体"/>
          <w:color w:val="auto"/>
          <w:highlight w:val="none"/>
        </w:rPr>
        <w:t xml:space="preserve">    29.2.3对成交结果提出质疑的，为成交结果公告期限届满之日起7个工作日内提出。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w:t>
      </w:r>
      <w:r>
        <w:rPr>
          <w:rFonts w:hint="eastAsia" w:ascii="宋体" w:hAnsi="宋体" w:cs="宋体"/>
          <w:b/>
          <w:bCs/>
          <w:color w:val="auto"/>
          <w:highlight w:val="none"/>
        </w:rPr>
        <w:t xml:space="preserve"> </w:t>
      </w:r>
      <w:r>
        <w:rPr>
          <w:rFonts w:hint="eastAsia" w:ascii="宋体" w:hAnsi="宋体" w:cs="宋体"/>
          <w:color w:val="auto"/>
          <w:highlight w:val="none"/>
        </w:rPr>
        <w:t xml:space="preserve">签订合同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w:t>
      </w:r>
      <w:r>
        <w:rPr>
          <w:rFonts w:hint="eastAsia" w:ascii="宋体" w:hAnsi="宋体" w:cs="宋体"/>
          <w:bCs/>
          <w:color w:val="auto"/>
          <w:szCs w:val="21"/>
          <w:highlight w:val="none"/>
        </w:rPr>
        <w:t xml:space="preserve">交供应商响应文件作实质性修改。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31.5履约保证金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本项目不收取履约保证金。</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32、其他</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705"/>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color w:val="auto"/>
          <w:highlight w:val="none"/>
        </w:rPr>
      </w:pPr>
      <w:r>
        <w:rPr>
          <w:rFonts w:hint="eastAsia"/>
          <w:color w:val="auto"/>
          <w:highlight w:val="none"/>
        </w:rPr>
        <w:br w:type="page" w:clear="all"/>
      </w:r>
      <w:r/>
    </w:p>
    <w:p>
      <w:pPr>
        <w:pStyle w:val="692"/>
        <w:jc w:val="center"/>
        <w:spacing w:line="360" w:lineRule="auto"/>
        <w:rPr>
          <w:rFonts w:hint="eastAsia" w:ascii="宋体" w:hAnsi="宋体" w:cs="宋体"/>
          <w:color w:val="auto"/>
          <w:highlight w:val="none"/>
        </w:rPr>
      </w:pPr>
      <w:r/>
      <w:bookmarkStart w:id="24" w:name="_Toc23216"/>
      <w:r>
        <w:rPr>
          <w:rFonts w:hint="eastAsia" w:ascii="宋体" w:hAnsi="宋体" w:cs="宋体"/>
          <w:color w:val="auto"/>
          <w:highlight w:val="none"/>
        </w:rPr>
        <w:t xml:space="preserve">第三章 合同条款及格式</w:t>
      </w:r>
      <w:bookmarkEnd w:id="24"/>
      <w:r/>
      <w:r/>
    </w:p>
    <w:p>
      <w:pPr>
        <w:ind w:firstLine="422"/>
        <w:spacing w:line="360" w:lineRule="auto"/>
        <w:rPr>
          <w:rFonts w:hint="eastAsia" w:ascii="宋体" w:hAnsi="宋体"/>
          <w:b/>
          <w:color w:val="auto"/>
          <w:szCs w:val="20"/>
          <w:highlight w:val="none"/>
        </w:rPr>
      </w:pPr>
      <w:r>
        <w:rPr>
          <w:rFonts w:ascii="宋体" w:hAnsi="宋体"/>
          <w:b/>
          <w:color w:val="auto"/>
          <w:szCs w:val="20"/>
          <w:highlight w:val="none"/>
        </w:rPr>
        <w:t xml:space="preserve">以下为成交后签定本项目合同的通用条款，成交</w:t>
      </w:r>
      <w:r>
        <w:rPr>
          <w:rFonts w:hint="eastAsia" w:ascii="宋体" w:hAnsi="宋体"/>
          <w:b/>
          <w:color w:val="auto"/>
          <w:szCs w:val="20"/>
          <w:highlight w:val="none"/>
        </w:rPr>
        <w:t xml:space="preserve">供应商</w:t>
      </w:r>
      <w:r>
        <w:rPr>
          <w:rFonts w:ascii="宋体" w:hAnsi="宋体"/>
          <w:b/>
          <w:color w:val="auto"/>
          <w:szCs w:val="20"/>
          <w:highlight w:val="none"/>
        </w:rPr>
        <w:t xml:space="preserve">不得提出实质性的修改，关于专用条款将由采购人与成交</w:t>
      </w:r>
      <w:r>
        <w:rPr>
          <w:rFonts w:hint="eastAsia" w:ascii="宋体" w:hAnsi="宋体"/>
          <w:b/>
          <w:color w:val="auto"/>
          <w:szCs w:val="20"/>
          <w:highlight w:val="none"/>
        </w:rPr>
        <w:t xml:space="preserve">供应商</w:t>
      </w:r>
      <w:r>
        <w:rPr>
          <w:rFonts w:ascii="宋体" w:hAnsi="宋体"/>
          <w:b/>
          <w:color w:val="auto"/>
          <w:szCs w:val="20"/>
          <w:highlight w:val="none"/>
        </w:rPr>
        <w:t xml:space="preserve">结合本项目具体情况协商后签订。</w:t>
      </w:r>
      <w:r/>
    </w:p>
    <w:p>
      <w:pPr>
        <w:rPr>
          <w:rFonts w:hint="eastAsia" w:ascii="宋体" w:hAnsi="宋体"/>
          <w:color w:val="auto"/>
          <w:szCs w:val="20"/>
          <w:highlight w:val="none"/>
        </w:rPr>
      </w:pPr>
      <w:r>
        <w:rPr>
          <w:rFonts w:hint="eastAsia" w:ascii="宋体" w:hAnsi="宋体"/>
          <w:color w:val="auto"/>
          <w:szCs w:val="20"/>
          <w:highlight w:val="none"/>
        </w:rPr>
      </w:r>
      <w:r/>
    </w:p>
    <w:p>
      <w:pPr>
        <w:jc w:val="center"/>
        <w:spacing w:before="156" w:after="156"/>
        <w:rPr>
          <w:rFonts w:hint="eastAsia" w:ascii="宋体" w:hAnsi="宋体"/>
          <w:b/>
          <w:bCs/>
          <w:color w:val="auto"/>
          <w:szCs w:val="21"/>
          <w:highlight w:val="none"/>
        </w:rPr>
      </w:pPr>
      <w:r>
        <w:rPr>
          <w:rFonts w:hint="eastAsia" w:ascii="宋体" w:hAnsi="宋体"/>
          <w:b/>
          <w:color w:val="auto"/>
          <w:szCs w:val="21"/>
          <w:highlight w:val="none"/>
        </w:rPr>
        <w:t xml:space="preserve">政府采购合同</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项目名称：</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项目编号：</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甲方（采购人/买方）：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乙方（供应商/卖方）：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见证方：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根据《中华人民共和国政府采购法》、《中华人民共和国</w:t>
      </w:r>
      <w:r>
        <w:rPr>
          <w:rFonts w:hint="eastAsia" w:ascii="宋体" w:hAnsi="宋体" w:cs="宋体"/>
          <w:color w:val="auto"/>
          <w:szCs w:val="20"/>
          <w:highlight w:val="none"/>
        </w:rPr>
        <w:t xml:space="preserve">民法典</w:t>
      </w:r>
      <w:r>
        <w:rPr>
          <w:rFonts w:ascii="宋体" w:hAnsi="宋体" w:cs="宋体"/>
          <w:color w:val="auto"/>
          <w:szCs w:val="20"/>
          <w:highlight w:val="none"/>
        </w:rPr>
        <w:t xml:space="preserve">》等法律法规的规定，甲乙双方按照</w:t>
      </w:r>
      <w:r>
        <w:rPr>
          <w:rFonts w:ascii="宋体" w:hAnsi="宋体"/>
          <w:color w:val="auto"/>
          <w:szCs w:val="21"/>
          <w:highlight w:val="none"/>
        </w:rPr>
        <w:t xml:space="preserve">江苏海红项目管理有限公司</w:t>
      </w:r>
      <w:r>
        <w:rPr>
          <w:rFonts w:ascii="宋体" w:hAnsi="宋体" w:cs="宋体"/>
          <w:color w:val="auto"/>
          <w:szCs w:val="20"/>
          <w:highlight w:val="none"/>
        </w:rPr>
        <w:t xml:space="preserve">关于本项目招标结果签订本合同。</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1、合同组成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文件、乙方提交的响应文件均是构成本合同不可分割的部分，还包括：</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（1）合同条款；</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（2）响应承诺函；</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（3）最后报价表；</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（4）报价明细表；</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（5）工程方案及服务承诺；</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（6）成交通知书；</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（7）图纸；</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（8）甲方、乙方商定的其他必要文件。</w:t>
      </w:r>
      <w:r/>
    </w:p>
    <w:p>
      <w:pPr>
        <w:ind w:firstLine="316"/>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 2、工程概况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2.1 工程名称：</w:t>
      </w:r>
      <w:r>
        <w:rPr>
          <w:rFonts w:ascii="宋体" w:hAnsi="宋体" w:cs="宋体"/>
          <w:color w:val="auto"/>
          <w:szCs w:val="20"/>
          <w:highlight w:val="none"/>
          <w:u w:val="singl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 工程地点：</w:t>
      </w:r>
      <w:r>
        <w:rPr>
          <w:rFonts w:ascii="宋体" w:hAnsi="宋体" w:cs="宋体"/>
          <w:color w:val="auto"/>
          <w:szCs w:val="20"/>
          <w:highlight w:val="none"/>
          <w:u w:val="singl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2.3 承包范围： </w:t>
      </w:r>
      <w:r>
        <w:rPr>
          <w:rFonts w:hint="eastAsia" w:ascii="宋体" w:hAnsi="宋体"/>
          <w:color w:val="auto"/>
          <w:szCs w:val="21"/>
          <w:highlight w:val="none"/>
          <w:u w:val="single"/>
        </w:rPr>
        <w:t xml:space="preserve"> 图纸及工程量清单等  </w:t>
      </w:r>
      <w:r>
        <w:rPr>
          <w:rFonts w:hint="eastAsia" w:ascii="宋体" w:hAnsi="宋体"/>
          <w:color w:val="auto"/>
          <w:szCs w:val="21"/>
          <w:highlight w:val="none"/>
        </w:rPr>
        <w:t xml:space="preserve">文件所规定的工程范围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2.4 承包方式：包工包料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2.5 工期：本工程工期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天，拟于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日开工，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日竣工，具体开工时间以采购人通知为准。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2.6 工程质量：合格。</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2.7 合同价款（人民币大写）：</w:t>
      </w:r>
      <w:r>
        <w:rPr>
          <w:rFonts w:hint="eastAsia" w:ascii="宋体" w:hAnsi="宋体"/>
          <w:color w:val="auto"/>
          <w:szCs w:val="21"/>
          <w:highlight w:val="none"/>
          <w:u w:val="single"/>
        </w:rPr>
        <w:t xml:space="preserve">             元，￥：      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（1）安全文明施工费：人民币（大写）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（2）材料和工程设备暂估价金额：人民币（大写）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（3）专业工程暂估价金额：人民币（大写）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（4）暂列金额：人民币（大写）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以上详见招标文件及投标文件。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2.8 付款方式：</w:t>
      </w:r>
      <w:r/>
    </w:p>
    <w:p>
      <w:pPr>
        <w:ind w:firstLine="422"/>
        <w:spacing w:line="400" w:lineRule="exact"/>
        <w:widowControl/>
        <w:rPr>
          <w:rFonts w:hint="eastAsia" w:ascii="宋体" w:hAnsi="宋体" w:eastAsia="宋体"/>
          <w:b/>
          <w:color w:val="auto"/>
          <w:szCs w:val="21"/>
          <w:highlight w:val="none"/>
          <w:lang w:eastAsia="zh-CN"/>
        </w:rPr>
      </w:pPr>
      <w:r>
        <w:rPr>
          <w:rFonts w:hint="eastAsia" w:ascii="宋体" w:hAnsi="宋体"/>
          <w:b/>
          <w:color w:val="auto"/>
          <w:szCs w:val="21"/>
          <w:highlight w:val="none"/>
          <w:lang w:eastAsia="zh-CN"/>
        </w:rPr>
        <w:t xml:space="preserve">成交价即为合同价，合同签订后，甲方10个工作日内支付合同价的30%作为预付款；工程竣工验收合格后，付至合同价的80%；结算审计后付至审定价的100%。所有款项支付均需出具正式税务发票方能支付。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3、甲方权利义务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开工前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天，向乙方提供经确认的施工图纸或做法说明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为甲方驻工地代表，负责合同履行。对工程质量进行监督检查，办理验收，变更，登记手续和其他事宜。</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3.3 委托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监理公司进行工程监理，监理公司任命</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为总监理工程师，其职责在监理合同中应明确，并将合同副本交监理公司壹份 （如有需填写）。</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3.4 如确实需要拆改原建筑物结构或设备管线，负责到有关部门办理相应审批手续。</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3.5 协调有关部门做好现场保卫、消防、垃圾处理等工作。</w:t>
      </w:r>
      <w:r/>
    </w:p>
    <w:p>
      <w:pPr>
        <w:ind w:firstLine="316"/>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4 、乙方权利义务</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参加甲方组织的施工图纸或作法说明的现场交底，拟定施工方案和进度计划，交甲方审定。</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为乙方项目负责人（项目经理），负责合同履行。按要求组织施工，保质、保量、按期完成施工任务，解决由乙方负责的各项事宜。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4.5 施工中未经甲方同意或有关部门批准，不得随意拆改原建筑物结构及各种设备管线。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工程竣工未移交甲方之前，负责对现场的一切设施和工程成品进行保护。</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5 、税费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中国政府根据现行税法规定对甲方征收的与本合同有关的一切税费均由甲方负担（免税部分除外）。</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中国政府根据现行税法规定对乙方征收的与本合同有关的一切税费均由乙方负担（免税部分除外）。</w:t>
      </w:r>
      <w:r/>
    </w:p>
    <w:p>
      <w:pPr>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6、履约保证金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本项目无履约保证金。</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7、关于工期的约定及其他相关的约定</w:t>
      </w:r>
      <w:r/>
    </w:p>
    <w:p>
      <w:pPr>
        <w:ind w:left="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甲方要求比合同约定的工期提前竣工时，应征得乙方同意，并支付乙方因赶工采取的措施费用。</w:t>
      </w:r>
      <w:r/>
    </w:p>
    <w:p>
      <w:pPr>
        <w:ind w:left="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7.2因甲方未按约定完成工作，影响工期，工期顺延。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因乙方责任，不能按期开工或中途无故停工，影响工期，工期不顺延。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因设计变更或非乙方原因造成的停电、停水、停气及不可抗力因素影响，导致停工8 小时以上（一周内累计计算）工期相应顺延。</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8、关于工程质量、验收及质保的约定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 本工程以施工图纸或作法说明、设计变更和国家制订的最新施工及验收规范为质量评定验收标准。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8.3 本工程质量应达到最新国家质量评定合格标准。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8.5 由于乙方原因造成质量事故，其返工费用由乙方承担，工期不顺延。</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 工程竣工后，乙方应通知甲方验收，甲方自接到验收通知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8.7 本工程应符合国家环保质量要求,否则应承担违约责任并赔偿甲方损失。</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8.10 本工程质量保修期为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年，自工程竣工验收合格之日起算。保修期届满前，乙方须对工程进行全面检查，使本工程达到合同所要求的条件及甲方认为合格的程度。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8.14遵守政府和发包人对施工现场的规定和要求，承担因自身原因违反有关规定造成的损失和罚款。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color w:val="auto"/>
          <w:szCs w:val="21"/>
          <w:highlight w:val="none"/>
        </w:rPr>
      </w:pPr>
      <w:r>
        <w:rPr>
          <w:rFonts w:hint="eastAsia" w:ascii="宋体" w:hAnsi="宋体"/>
          <w:color w:val="auto"/>
          <w:szCs w:val="21"/>
          <w:highlight w:val="none"/>
        </w:rPr>
        <w:t xml:space="preserve">8.17因乙方违反本合同约定而发生诉讼或仲裁的，甲方因此所产生的包括但不限于诉讼费、仲裁费、律师费等均由乙方承担。</w:t>
      </w:r>
      <w:r/>
    </w:p>
    <w:p>
      <w:pPr>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 9、关于工程价款及结算的约定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双方商定本合同价款采用第</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种：</w:t>
      </w:r>
      <w:r/>
    </w:p>
    <w:p>
      <w:pPr>
        <w:ind w:firstLine="42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(1)固定单</w:t>
      </w:r>
      <w:r>
        <w:rPr>
          <w:rFonts w:hint="eastAsia" w:ascii="宋体" w:hAnsi="宋体"/>
          <w:bCs/>
          <w:color w:val="auto"/>
          <w:szCs w:val="21"/>
          <w:highlight w:val="none"/>
        </w:rPr>
        <w:t xml:space="preserve">价</w:t>
      </w:r>
      <w:r>
        <w:rPr>
          <w:rFonts w:hint="eastAsia" w:ascii="宋体" w:hAnsi="宋体"/>
          <w:color w:val="auto"/>
          <w:szCs w:val="21"/>
          <w:highlight w:val="none"/>
        </w:rPr>
        <w:t xml:space="preserve">（风险费已包含在报价中，其它合同以外价款的调整方法为</w:t>
      </w:r>
      <w:r>
        <w:rPr>
          <w:rFonts w:hint="eastAsia" w:ascii="宋体" w:hAnsi="宋体"/>
          <w:color w:val="auto"/>
          <w:szCs w:val="21"/>
          <w:highlight w:val="none"/>
          <w:u w:val="single"/>
        </w:rPr>
        <w:t xml:space="preserve">工程量清单中有的项目（项目特征相同）按报价的综合单价计算；报价中没有综合单价的新的工程量清单项目，按照《建设工程工程量清单计价规范》</w:t>
      </w:r>
      <w:r>
        <w:rPr>
          <w:rFonts w:ascii="宋体" w:hAnsi="宋体"/>
          <w:color w:val="auto"/>
          <w:szCs w:val="21"/>
          <w:highlight w:val="none"/>
          <w:u w:val="single"/>
        </w:rPr>
        <w:t xml:space="preserve">（GB50500-2013）</w:t>
      </w:r>
      <w:r>
        <w:rPr>
          <w:rFonts w:hint="eastAsia" w:ascii="宋体" w:hAnsi="宋体"/>
          <w:color w:val="auto"/>
          <w:szCs w:val="21"/>
          <w:highlight w:val="none"/>
          <w:u w:val="single"/>
        </w:rPr>
        <w:t xml:space="preserve">、《房屋建筑与装饰工程工程量计算规范》</w:t>
      </w:r>
      <w:r>
        <w:rPr>
          <w:rFonts w:ascii="宋体" w:hAnsi="宋体"/>
          <w:color w:val="auto"/>
          <w:szCs w:val="21"/>
          <w:highlight w:val="none"/>
          <w:u w:val="single"/>
        </w:rPr>
        <w:t xml:space="preserve">（GB50854-2013）</w:t>
      </w:r>
      <w:r>
        <w:rPr>
          <w:rFonts w:hint="eastAsia" w:ascii="宋体" w:hAnsi="宋体"/>
          <w:color w:val="auto"/>
          <w:szCs w:val="21"/>
          <w:highlight w:val="none"/>
          <w:u w:val="single"/>
        </w:rPr>
        <w:t xml:space="preserve">、《江苏省安装工程计价定额》（2014）、《江苏省建筑与装饰工程计价定额》（2014）、《江苏省建设工程费用定额》（2014）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 固定价格加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%包干风险系数计算。包干风险包括内容：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可调价格：按照国家有关工程计价规定计算造价，并按有关规定进行调整和竣工结算。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9.2结算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本工程结算价需经有关部门审定确认，具体如下：</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(a)本工程结算价需经有关部门审定确认，本工程安全文明施工措施费计取基本费及扬尘污染防治增加费，结算时按有关部门核定调整。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（b）乙方竣工验收合格后30天内提交结算送审资料进行结算。超过合同约定时间报送的关于工程量变更等导致工程款变化的结算资料不作为审查的依据。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（c）乙方提供的竣工资料如有缺项（如试验记录、调试记录等），则视为该项工序现场未做，在工程结算中此部分费用将予以扣除。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d）本工程最终结算价以审计单位审核为准。为避免乙方虚报竣工结算价款，最终审计核减率在5%以下（含5%），审核费用由甲方承担，核减率在5%-10%之间（含10%），由乙方承担一半审核费用，核减率在10%以上，由乙方承担全部审核费用。乙方承担的审核费用在结算付款中扣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（e）乙方需提供增值税专用发票，税率为9%。</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10 、关于材料及配件供应的约定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凡由乙方采购的材料及配件、设备，如不符合质量要求或规格有差异，应禁止使用。若已使用，对工程造成的损失由乙方负责。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10.2 工程项目中所用所有主材必须征得甲方认可，甲方保留主材甲供的权利。</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11、有关安全生产和防火的约定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11.1 甲方提供的施工图纸或作法说明，应符合《中华人民共和国消防条例》和有关防火设计规范。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12 、奖励和违约责任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由于乙方原因，逾期竣工，每逾期一天，乙方支付甲方</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元违约金，逾期竣工超过 30天的甲方及委托采购机构有权不予退还乙方的履约保证金。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Cs w:val="21"/>
          <w:highlight w:val="none"/>
          <w:u w:val="single"/>
        </w:rPr>
        <w:t xml:space="preserve"> 1万元</w:t>
      </w:r>
      <w:r>
        <w:rPr>
          <w:rFonts w:hint="eastAsia" w:ascii="宋体" w:hAnsi="宋体"/>
          <w:color w:val="auto"/>
          <w:szCs w:val="21"/>
          <w:highlight w:val="none"/>
        </w:rPr>
        <w:t xml:space="preserve">；项目管理班子其它人员每更换一次，或项目经理月到位率不足</w:t>
      </w:r>
      <w:r>
        <w:rPr>
          <w:rFonts w:hint="eastAsia" w:ascii="宋体" w:hAnsi="宋体"/>
          <w:color w:val="auto"/>
          <w:szCs w:val="21"/>
          <w:highlight w:val="none"/>
          <w:u w:val="single"/>
        </w:rPr>
        <w:t xml:space="preserve">80%</w:t>
      </w:r>
      <w:r>
        <w:rPr>
          <w:rFonts w:hint="eastAsia" w:ascii="宋体" w:hAnsi="宋体"/>
          <w:color w:val="auto"/>
          <w:szCs w:val="21"/>
          <w:highlight w:val="none"/>
        </w:rPr>
        <w:t xml:space="preserve">的，甲方将从工程款中扣除违约金</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元；项目班子管理人员（除项目经理外）月到位率达不到</w:t>
      </w:r>
      <w:r>
        <w:rPr>
          <w:rFonts w:hint="eastAsia" w:ascii="宋体" w:hAnsi="宋体"/>
          <w:color w:val="auto"/>
          <w:szCs w:val="21"/>
          <w:highlight w:val="none"/>
          <w:u w:val="single"/>
        </w:rPr>
        <w:t xml:space="preserve"> 90%</w:t>
      </w:r>
      <w:r>
        <w:rPr>
          <w:rFonts w:hint="eastAsia" w:ascii="宋体" w:hAnsi="宋体"/>
          <w:color w:val="auto"/>
          <w:szCs w:val="21"/>
          <w:highlight w:val="none"/>
        </w:rPr>
        <w:t xml:space="preserve">的，每人次罚</w:t>
      </w:r>
      <w:r>
        <w:rPr>
          <w:rFonts w:hint="eastAsia" w:ascii="宋体" w:hAnsi="宋体"/>
          <w:color w:val="auto"/>
          <w:szCs w:val="21"/>
          <w:highlight w:val="none"/>
          <w:u w:val="single"/>
        </w:rPr>
        <w:t xml:space="preserve">1000</w:t>
      </w:r>
      <w:r>
        <w:rPr>
          <w:rFonts w:hint="eastAsia" w:ascii="宋体" w:hAnsi="宋体"/>
          <w:color w:val="auto"/>
          <w:szCs w:val="21"/>
          <w:highlight w:val="none"/>
        </w:rPr>
        <w:t xml:space="preserve">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 乙方应妥善保护甲方提供的设备及工程成品，如造成损失，应照价赔偿。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 甲方未办理任何手续，擅自同意拆改原有建筑物或设备管线，由此发生的损失或事故（包括罚款），由甲方负责并承担损失。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12.5 未经甲方同意，乙方擅自拆改原建筑物结构或设备管线，由此发生的损失或事故（包括罚款），由乙方负责并承担损失。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12.6 未办理验收手续，甲方提前使用或擅自动用造成损失由甲方负责。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12.7 因一方原因，合同无法继续履行时，应通知对方，办理合同终止协议，并由责任方赔偿对方由此造成的经济损失。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13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不可抗力影响时间持续 30 日以上时，甲乙双方及时解除合同；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 本条所述“不可抗力”是指不可预见、不能克服及不能避免的事件，包括战争、严重火灾、洪水、地震等。</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14 、纠纷解决办法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在诉讼期间，本合同应继续执行。</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15 、破产终止合同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16、分包和转让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 本合同不得转让。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17、合同生效及其它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合同应在甲方、乙方签字后生效。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本合同一式陆份，以中文书写，由甲方贰份、乙方贰份，见证方及政府采购管理部门各执壹份。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17.3 本合同服务实施期间所发生的合同纠纷，甲方与乙方进行处理。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17.5 本合同应按照中华人民共和国的现行法律进行解释。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  方（单位盖章）：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  方（单位盖章）：</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见证方（单位盖章）：</w:t>
      </w:r>
      <w:r>
        <w:rPr>
          <w:rFonts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b/>
          <w:color w:val="auto"/>
          <w:sz w:val="30"/>
          <w:szCs w:val="30"/>
          <w:highlight w:val="none"/>
        </w:rPr>
      </w:pPr>
      <w:r>
        <w:rPr>
          <w:rFonts w:hint="eastAsia" w:ascii="宋体" w:hAnsi="宋体"/>
          <w:color w:val="auto"/>
          <w:szCs w:val="21"/>
          <w:highlight w:val="none"/>
        </w:rPr>
        <w:t xml:space="preserve">合同签订日期：   年   月   日</w:t>
      </w:r>
      <w:r/>
    </w:p>
    <w:p>
      <w:pPr>
        <w:jc w:val="center"/>
        <w:rPr>
          <w:rFonts w:hint="eastAsia" w:ascii="宋体" w:hAnsi="宋体"/>
          <w:b/>
          <w:color w:val="auto"/>
          <w:sz w:val="30"/>
          <w:szCs w:val="30"/>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p>
    <w:p>
      <w:pPr>
        <w:jc w:val="left"/>
        <w:widowControl/>
        <w:rPr>
          <w:rFonts w:hint="eastAsia" w:ascii="宋体" w:hAnsi="宋体"/>
          <w:b/>
          <w:color w:val="auto"/>
          <w:sz w:val="30"/>
          <w:szCs w:val="30"/>
          <w:highlight w:val="none"/>
        </w:rPr>
      </w:pPr>
      <w:r>
        <w:rPr>
          <w:rFonts w:ascii="宋体" w:hAnsi="宋体"/>
          <w:b/>
          <w:color w:val="auto"/>
          <w:sz w:val="30"/>
          <w:szCs w:val="30"/>
          <w:highlight w:val="none"/>
        </w:rPr>
        <w:br w:type="page" w:clear="all"/>
      </w:r>
      <w:r/>
    </w:p>
    <w:p>
      <w:pPr>
        <w:jc w:val="center"/>
        <w:spacing w:before="156" w:after="156" w:line="44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工程质量保修书</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发包人（全称）：             </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承包人（全称）：                          </w:t>
      </w:r>
      <w:r>
        <w:rPr>
          <w:rFonts w:ascii="宋体" w:hAnsi="宋体" w:cs="宋体"/>
          <w:color w:val="auto"/>
          <w:szCs w:val="24"/>
          <w:highlight w:val="none"/>
          <w:shd w:val="clear" w:color="auto" w:fill="ffffff"/>
        </w:rPr>
        <w:t xml:space="preserve"> </w:t>
      </w:r>
      <w:r/>
    </w:p>
    <w:p>
      <w:pPr>
        <w:ind w:firstLine="525"/>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（工程全称）签订工程质量保修书。</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一、工程质量保修范围和内容</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4"/>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二、质量保修期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．地基基础工程和主体结构工程为设计文件规定的工程合理使用年限；</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本工程质量保修期为</w:t>
      </w:r>
      <w:r>
        <w:rPr>
          <w:rFonts w:hint="eastAsia"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4、屋面防水工程、有防水要求的卫生间、房间和外墙面的防渗为</w:t>
      </w:r>
      <w:r>
        <w:rPr>
          <w:rFonts w:ascii="宋体" w:hAnsi="宋体" w:cs="宋体"/>
          <w:color w:val="auto"/>
          <w:szCs w:val="24"/>
          <w:highlight w:val="none"/>
          <w:u w:val="single"/>
          <w:shd w:val="clear" w:color="auto" w:fill="ffffff"/>
        </w:rPr>
        <w:t xml:space="preserve">  5 </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5、装修工程为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6、电气管线、给排水管道、设备安装工程为</w:t>
      </w:r>
      <w:r>
        <w:rPr>
          <w:rFonts w:ascii="宋体" w:hAnsi="宋体" w:cs="宋体"/>
          <w:color w:val="auto"/>
          <w:szCs w:val="24"/>
          <w:highlight w:val="none"/>
          <w:shd w:val="clear" w:color="auto" w:fill="ffffff"/>
        </w:rPr>
        <w:t xml:space="preserve"> </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7、供热与供冷系统为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个采暖期、供冷期；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8、住宅小区内的给排水设施、道路等配套工程为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三、缺陷责任期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工程缺陷责任期为</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 xml:space="preserve">24</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四、质量保修责任</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．属于保修范围、内容的项目，承包人应当在接到保修通知之日起</w:t>
      </w:r>
      <w:r>
        <w:rPr>
          <w:rFonts w:ascii="宋体" w:hAnsi="宋体" w:cs="宋体"/>
          <w:color w:val="auto"/>
          <w:szCs w:val="24"/>
          <w:highlight w:val="none"/>
          <w:shd w:val="clear" w:color="auto" w:fill="ffffff"/>
        </w:rPr>
        <w:t xml:space="preserve">7</w:t>
      </w:r>
      <w:r>
        <w:rPr>
          <w:rFonts w:hint="eastAsia" w:ascii="宋体" w:hAnsi="宋体" w:cs="宋体"/>
          <w:color w:val="auto"/>
          <w:szCs w:val="24"/>
          <w:highlight w:val="none"/>
          <w:shd w:val="clear" w:color="auto" w:fill="ffffff"/>
        </w:rPr>
        <w:t xml:space="preserve">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2</w:t>
      </w:r>
      <w:r>
        <w:rPr>
          <w:rFonts w:hint="eastAsia" w:ascii="宋体" w:hAnsi="宋体" w:cs="宋体"/>
          <w:color w:val="auto"/>
          <w:szCs w:val="24"/>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3</w:t>
      </w:r>
      <w:r>
        <w:rPr>
          <w:rFonts w:hint="eastAsia" w:ascii="宋体" w:hAnsi="宋体" w:cs="宋体"/>
          <w:color w:val="auto"/>
          <w:szCs w:val="24"/>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5．质量保修完成后，由发包人组织验收。</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五、保修费用</w:t>
      </w:r>
      <w:r/>
    </w:p>
    <w:p>
      <w:pPr>
        <w:ind w:firstLine="420"/>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保修费用由造成质量缺陷的责任方承担。</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六、质量保修金的退还</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七、双方约定的其他工程质量保修事项：</w:t>
      </w:r>
      <w:r>
        <w:rPr>
          <w:rFonts w:hint="eastAsia" w:ascii="宋体" w:hAnsi="宋体" w:cs="宋体"/>
          <w:color w:val="auto"/>
          <w:szCs w:val="24"/>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Cs w:val="24"/>
          <w:highlight w:val="none"/>
          <w:u w:val="single"/>
          <w:shd w:val="clear" w:color="auto" w:fill="ffffff"/>
        </w:rPr>
        <w:t xml:space="preserve">2</w:t>
      </w:r>
      <w:r>
        <w:rPr>
          <w:rFonts w:hint="eastAsia" w:ascii="宋体" w:hAnsi="宋体" w:cs="宋体"/>
          <w:color w:val="auto"/>
          <w:szCs w:val="24"/>
          <w:highlight w:val="none"/>
          <w:u w:val="single"/>
          <w:shd w:val="clear" w:color="auto" w:fill="ffffff"/>
        </w:rPr>
        <w:t xml:space="preserve">倍由承包人支付。</w:t>
      </w:r>
      <w:r>
        <w:rPr>
          <w:rFonts w:ascii="宋体" w:hAnsi="宋体" w:cs="宋体"/>
          <w:color w:val="auto"/>
          <w:szCs w:val="24"/>
          <w:highlight w:val="none"/>
          <w:u w:val="single"/>
          <w:shd w:val="clear" w:color="auto" w:fill="ffffff"/>
        </w:rPr>
        <w:t xml:space="preserve">  </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工程质量保修书由</w:t>
      </w:r>
      <w:r>
        <w:rPr>
          <w:rFonts w:ascii="宋体" w:hAnsi="宋体"/>
          <w:color w:val="auto"/>
          <w:szCs w:val="21"/>
          <w:highlight w:val="none"/>
        </w:rPr>
        <w:t xml:space="preserve">施工合同甲方、乙方</w:t>
      </w:r>
      <w:r>
        <w:rPr>
          <w:rFonts w:hint="eastAsia" w:ascii="宋体" w:hAnsi="宋体" w:cs="宋体"/>
          <w:color w:val="auto"/>
          <w:szCs w:val="24"/>
          <w:highlight w:val="none"/>
          <w:shd w:val="clear" w:color="auto" w:fill="ffffff"/>
        </w:rPr>
        <w:t xml:space="preserve">在工程竣工验收前共同签署，作为施工合同附件，其有效期限至保修期满。</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承包人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开户银行：                                      开户银行：</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邮政编码：</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邮政编码：</w:t>
      </w:r>
      <w:r/>
    </w:p>
    <w:p>
      <w:pPr>
        <w:spacing w:before="156" w:after="156" w:line="440" w:lineRule="exact"/>
        <w:rPr>
          <w:rFonts w:ascii="宋体"/>
          <w:b/>
          <w:color w:val="auto"/>
          <w:sz w:val="24"/>
          <w:szCs w:val="24"/>
          <w:highlight w:val="none"/>
        </w:rPr>
      </w:pPr>
      <w:r>
        <w:rPr>
          <w:rFonts w:ascii="宋体"/>
          <w:b/>
          <w:color w:val="auto"/>
          <w:sz w:val="24"/>
          <w:szCs w:val="24"/>
          <w:highlight w:val="none"/>
        </w:rPr>
      </w:r>
      <w:r/>
    </w:p>
    <w:p>
      <w:pPr>
        <w:jc w:val="center"/>
        <w:spacing w:line="480" w:lineRule="exact"/>
        <w:rPr>
          <w:rFonts w:hint="eastAsia" w:ascii="宋体" w:hAnsi="宋体" w:cs="方正小标宋_GBK"/>
          <w:b/>
          <w:color w:val="auto"/>
          <w:sz w:val="30"/>
          <w:szCs w:val="30"/>
          <w:highlight w:val="none"/>
        </w:rPr>
      </w:pPr>
      <w:r/>
      <w:bookmarkStart w:id="25" w:name="_Toc504121797"/>
      <w:r/>
      <w:bookmarkStart w:id="26" w:name="_Toc496171633"/>
      <w:r/>
      <w:r/>
    </w:p>
    <w:p>
      <w:pPr>
        <w:jc w:val="center"/>
        <w:spacing w:line="480" w:lineRule="exact"/>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r>
      <w:r/>
    </w:p>
    <w:p>
      <w:pPr>
        <w:spacing w:after="120"/>
        <w:rPr>
          <w:color w:val="auto"/>
          <w:szCs w:val="24"/>
          <w:highlight w:val="none"/>
        </w:rPr>
      </w:pPr>
      <w:r>
        <w:rPr>
          <w:color w:val="auto"/>
          <w:szCs w:val="24"/>
          <w:highlight w:val="none"/>
        </w:rPr>
      </w:r>
      <w:r/>
    </w:p>
    <w:p>
      <w:pPr>
        <w:jc w:val="center"/>
        <w:spacing w:line="480" w:lineRule="exact"/>
        <w:rPr>
          <w:rFonts w:hint="eastAsia" w:ascii="宋体" w:hAnsi="宋体"/>
          <w:b/>
          <w:bCs/>
          <w:color w:val="auto"/>
          <w:sz w:val="30"/>
          <w:szCs w:val="30"/>
          <w:highlight w:val="none"/>
        </w:rPr>
      </w:pPr>
      <w:r>
        <w:rPr>
          <w:rFonts w:hint="eastAsia" w:ascii="宋体" w:hAnsi="宋体" w:cs="方正小标宋_GBK"/>
          <w:b/>
          <w:color w:val="auto"/>
          <w:sz w:val="30"/>
          <w:szCs w:val="30"/>
          <w:highlight w:val="none"/>
        </w:rPr>
        <w:t xml:space="preserve">施工单位安全施工承诺书</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本单位郑重承诺:在</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单位法定代表人</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授权</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为本工程项目经理。</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承诺期内，若违反上述承诺内容，本企业和承诺人愿意接受建设行政主管部门及其他有关部门依据有关法律法规给予的处罚。</w:t>
      </w:r>
      <w:r/>
    </w:p>
    <w:tbl>
      <w:tblPr>
        <w:tblStyle w:val="702"/>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color w:val="auto"/>
                <w:szCs w:val="21"/>
                <w:highlight w:val="none"/>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bl>
    <w:p>
      <w:pPr>
        <w:spacing w:line="480" w:lineRule="exact"/>
        <w:shd w:val="clear" w:color="auto" w:fill="ffffff"/>
        <w:widowControl/>
        <w:rPr>
          <w:rFonts w:hint="eastAsia" w:ascii="宋体" w:hAnsi="宋体" w:cs="宋体"/>
          <w:color w:val="auto"/>
          <w:szCs w:val="21"/>
          <w:highlight w:val="none"/>
        </w:rPr>
      </w:pPr>
      <w:r>
        <w:rPr>
          <w:rFonts w:ascii="宋体" w:hAnsi="宋体" w:cs="宋体"/>
          <w:color w:val="auto"/>
          <w:szCs w:val="21"/>
          <w:highlight w:val="none"/>
        </w:rPr>
        <w:t xml:space="preserve"> </w:t>
      </w:r>
      <w:r/>
    </w:p>
    <w:p>
      <w:pPr>
        <w:ind w:firstLine="645"/>
        <w:spacing w:line="480" w:lineRule="exact"/>
        <w:rPr>
          <w:rFonts w:hint="eastAsia" w:ascii="宋体" w:hAnsi="宋体" w:cs="仿宋"/>
          <w:color w:val="auto"/>
          <w:szCs w:val="21"/>
          <w:highlight w:val="none"/>
        </w:rPr>
      </w:pPr>
      <w:r>
        <w:rPr>
          <w:rFonts w:ascii="宋体" w:hAnsi="宋体" w:cs="宋体"/>
          <w:color w:val="auto"/>
          <w:szCs w:val="21"/>
          <w:highlight w:val="none"/>
        </w:rPr>
        <w:t xml:space="preserve">                                        </w:t>
      </w:r>
      <w:r>
        <w:rPr>
          <w:rFonts w:hint="eastAsia" w:ascii="宋体" w:hAnsi="宋体" w:cs="仿宋"/>
          <w:color w:val="auto"/>
          <w:szCs w:val="21"/>
          <w:highlight w:val="none"/>
        </w:rPr>
        <w:t xml:space="preserve"> （单位公章）</w:t>
      </w:r>
      <w:bookmarkEnd w:id="25"/>
      <w:r/>
      <w:bookmarkEnd w:id="26"/>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rPr>
          <w:rFonts w:hint="eastAsia" w:ascii="宋体" w:hAnsi="宋体" w:cs="宋体"/>
          <w:color w:val="auto"/>
          <w:sz w:val="28"/>
          <w:szCs w:val="28"/>
          <w:highlight w:val="none"/>
          <w:u w:val="single"/>
          <w:lang w:val="zh-CN"/>
        </w:rPr>
        <w:t xml:space="preserve">工程合同编号：       </w:t>
      </w:r>
      <w:r/>
    </w:p>
    <w:p>
      <w:pPr>
        <w:ind w:firstLine="5320"/>
        <w:spacing w:after="312"/>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u w:val="single"/>
          <w:lang w:val="zh-CN"/>
        </w:rPr>
        <w:t xml:space="preserve">廉政合同编号：     </w:t>
      </w:r>
      <w:r>
        <w:rPr>
          <w:rFonts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u w:val="single"/>
          <w:lang w:val="zh-CN"/>
        </w:rPr>
        <w:t xml:space="preserve"> </w:t>
      </w:r>
      <w:r/>
    </w:p>
    <w:p>
      <w:pPr>
        <w:jc w:val="cente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同</w:t>
      </w:r>
      <w:r/>
    </w:p>
    <w:p>
      <w:pPr>
        <w:pStyle w:val="887"/>
        <w:ind w:firstLine="560"/>
        <w:spacing w:line="400" w:lineRule="atLeast"/>
        <w:rPr>
          <w:rFonts w:hint="eastAsia" w:ascii="宋体" w:hAnsi="宋体"/>
          <w:color w:val="auto"/>
          <w:highlight w:val="none"/>
        </w:rPr>
        <w:outlineLvl w:val="9"/>
      </w:pPr>
      <w:r>
        <w:rPr>
          <w:rFonts w:hint="eastAsia" w:ascii="宋体" w:hAnsi="宋体" w:cs="宋体"/>
          <w:color w:val="auto"/>
          <w:szCs w:val="21"/>
          <w:highlight w:val="none"/>
          <w:lang w:val="zh-CN"/>
        </w:rPr>
        <w:br w:type="page" w:clear="all"/>
      </w:r>
      <w:bookmarkStart w:id="27" w:name="_Toc13371"/>
      <w:r/>
      <w:bookmarkStart w:id="28" w:name="_Toc29588"/>
      <w:r>
        <w:rPr>
          <w:rFonts w:hint="eastAsia" w:ascii="宋体" w:hAnsi="宋体"/>
          <w:color w:val="auto"/>
          <w:highlight w:val="none"/>
        </w:rPr>
        <w:t xml:space="preserve">廉 政 合 同</w:t>
      </w:r>
      <w:bookmarkEnd w:id="27"/>
      <w:r/>
      <w:bookmarkEnd w:id="28"/>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第一条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甲乙双方的权利和义务</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（二）严格执行本项目甲乙双方签订的施工合同文件，自觉按合同办事。</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第二条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甲方的责任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甲方的领导和从事该工程项目的工作人员，在工程项目的事前、事中、事后应遵守以下规定：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（一）禁止向乙方索要、接受回扣、礼金、有价证券、贵重物品和好处费、感谢费或在乙方报销任何应由甲方（个人）支付的费用。</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（二）禁止参加乙方安排的宴请和健身、娱乐等活动或接受乙方提供的通讯工具、交通工具和高档办公用品等。</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（三）禁止要求、暗示和接受乙方为个人装修住房、婚丧嫁娶、配偶子女的工作安排以及出国（境）、旅游等提供方便。</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（四）禁止允许、纵容配偶、子女从事与乙方承包本工程有关的设备材料供应、工程分包、劳务等经济活动，并为其提供便利条件。</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（五）禁止以任何理由向乙方推荐分包单位或要求乙方购买项目合同规定外的材料、设备和服务等。</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第三条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乙方的责任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（一）不准以任何理由、任何形式向甲方及其工作人员行贿或馈赠礼金、有价证券、贵重物品。</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（二）不准以任何名义为甲方及其工作人员报销应由对方或个人支付的费用。</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（三）不准以任何理由安排甲方工作人员参加宴请及健身、娱乐和旅游等活动。</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（四）不准为甲方单位和工作人员购置或提供通讯工具、交通工具和高档办公用品和装修住房等。</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第四条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违约责任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（二）乙方工作人员违反本合同第一、第三条责任行为的，</w:t>
      </w:r>
      <w:r>
        <w:rPr>
          <w:rFonts w:hint="eastAsia" w:ascii="宋体" w:hAnsi="宋体"/>
          <w:color w:val="auto"/>
          <w:sz w:val="21"/>
          <w:szCs w:val="21"/>
          <w:highlight w:val="none"/>
          <w:lang w:val="zh-CN"/>
        </w:rPr>
        <w:t xml:space="preserve">有关行政主管部门有权中止工程项目建设合同</w:t>
      </w:r>
      <w:r>
        <w:rPr>
          <w:rFonts w:hint="eastAsia" w:ascii="宋体" w:hAnsi="宋体"/>
          <w:color w:val="auto"/>
          <w:sz w:val="21"/>
          <w:szCs w:val="21"/>
          <w:highlight w:val="none"/>
        </w:rPr>
        <w:t xml:space="preserve">；涉嫌犯罪的，移交司法机关追究刑事责任；情节严重的，有关部门将依据《扬州市邗江区建设工程市场廉政准入规定》等给予乙方处罚。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（三）乙方如将部分辅助项目分包的，有责任向承包方交待本合同的具体内容，并要求其严格执行本合同规定。</w:t>
      </w:r>
      <w:r/>
    </w:p>
    <w:p>
      <w:pPr>
        <w:pStyle w:val="888"/>
        <w:ind w:firstLine="420"/>
        <w:spacing w:line="360" w:lineRule="auto"/>
        <w:tabs>
          <w:tab w:val="left" w:pos="158" w:leader="none"/>
        </w:tabs>
        <w:rPr>
          <w:rFonts w:ascii="宋体"/>
          <w:color w:val="auto"/>
          <w:sz w:val="21"/>
          <w:szCs w:val="21"/>
          <w:highlight w:val="none"/>
          <w:lang w:val="zh-CN"/>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888"/>
        <w:ind w:firstLine="420"/>
        <w:spacing w:line="360" w:lineRule="auto"/>
        <w:rPr>
          <w:rFonts w:ascii="宋体"/>
          <w:color w:val="auto"/>
          <w:sz w:val="21"/>
          <w:szCs w:val="21"/>
          <w:highlight w:val="none"/>
          <w:lang w:val="zh-CN"/>
        </w:rPr>
      </w:pPr>
      <w:r>
        <w:rPr>
          <w:rFonts w:hint="eastAsia" w:ascii="宋体" w:hAnsi="宋体"/>
          <w:color w:val="auto"/>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888"/>
        <w:ind w:firstLine="420"/>
        <w:spacing w:line="360" w:lineRule="auto"/>
        <w:tabs>
          <w:tab w:val="left" w:pos="628" w:leader="none"/>
        </w:tabs>
        <w:rPr>
          <w:rFonts w:ascii="宋体"/>
          <w:color w:val="auto"/>
          <w:sz w:val="21"/>
          <w:szCs w:val="21"/>
          <w:highlight w:val="none"/>
        </w:rPr>
      </w:pPr>
      <w:r>
        <w:rPr>
          <w:rFonts w:hint="eastAsia" w:ascii="宋体" w:hAnsi="宋体"/>
          <w:color w:val="auto"/>
          <w:sz w:val="21"/>
          <w:szCs w:val="21"/>
          <w:highlight w:val="none"/>
        </w:rPr>
        <w:t xml:space="preserve">第五条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本合同作为工程合同的附件，与工程合同具有同等法律效力，甲乙双方签署后立即生效。</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第六条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本合同的有效期为双方签署之日起至该工程项目竣工验收合格、工程资金结清时止。</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第七条</w:t>
      </w:r>
      <w:r>
        <w:rPr>
          <w:rFonts w:ascii="宋体" w:hAnsi="宋体"/>
          <w:color w:val="auto"/>
          <w:sz w:val="21"/>
          <w:szCs w:val="21"/>
          <w:highlight w:val="none"/>
        </w:rPr>
        <w:t xml:space="preserve">    </w:t>
      </w:r>
      <w:r>
        <w:rPr>
          <w:rFonts w:hint="eastAsia" w:ascii="宋体" w:hAnsi="宋体" w:cs="宋体"/>
          <w:color w:val="auto"/>
          <w:sz w:val="21"/>
          <w:szCs w:val="21"/>
          <w:highlight w:val="none"/>
        </w:rPr>
        <w:t xml:space="preserve">本协议共陆份，甲方持有叁份，乙方执贰份，见证方一份，具有同等法律效力。本合同自甲乙双方签字盖章之日起生效。</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甲方单位：（盖章）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乙方单位：（盖章）</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地址：</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地址：</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电话：</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电话：</w:t>
      </w:r>
      <w:r/>
    </w:p>
    <w:p>
      <w:pPr>
        <w:pStyle w:val="888"/>
        <w:ind w:firstLine="315"/>
        <w:spacing w:line="360" w:lineRule="auto"/>
        <w:rPr>
          <w:rFonts w:asci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20"/>
        <w:spacing w:line="360" w:lineRule="auto"/>
        <w:rPr>
          <w:color w:val="auto"/>
          <w:highlight w:val="none"/>
        </w:rPr>
      </w:pPr>
      <w:r>
        <w:rPr>
          <w:color w:val="auto"/>
          <w:highlight w:val="none"/>
        </w:rPr>
      </w:r>
      <w:r/>
    </w:p>
    <w:p>
      <w:pPr>
        <w:jc w:val="left"/>
        <w:widowControl/>
        <w:rPr>
          <w:rFonts w:hint="eastAsia" w:ascii="宋体" w:hAnsi="宋体"/>
          <w:b/>
          <w:color w:val="auto"/>
          <w:sz w:val="30"/>
          <w:szCs w:val="30"/>
          <w:highlight w:val="none"/>
        </w:rPr>
      </w:pPr>
      <w:r>
        <w:rPr>
          <w:rFonts w:ascii="宋体" w:hAnsi="宋体"/>
          <w:b/>
          <w:color w:val="auto"/>
          <w:sz w:val="30"/>
          <w:szCs w:val="30"/>
          <w:highlight w:val="none"/>
        </w:rPr>
        <w:br w:type="page" w:clear="all"/>
      </w:r>
      <w:r/>
    </w:p>
    <w:p>
      <w:pPr>
        <w:pStyle w:val="692"/>
        <w:jc w:val="center"/>
        <w:spacing w:line="360" w:lineRule="auto"/>
        <w:rPr>
          <w:rFonts w:hint="eastAsia" w:ascii="宋体" w:hAnsi="宋体" w:cs="宋体"/>
          <w:color w:val="auto"/>
          <w:highlight w:val="none"/>
        </w:rPr>
      </w:pPr>
      <w:r/>
      <w:bookmarkStart w:id="29" w:name="_Toc12671"/>
      <w:r>
        <w:rPr>
          <w:rFonts w:hint="eastAsia" w:ascii="宋体" w:hAnsi="宋体" w:cs="宋体"/>
          <w:color w:val="auto"/>
          <w:highlight w:val="none"/>
        </w:rPr>
        <w:t xml:space="preserve">第四章  项目需求</w:t>
      </w:r>
      <w:bookmarkEnd w:id="29"/>
      <w:r/>
      <w:r/>
    </w:p>
    <w:p>
      <w:pPr>
        <w:jc w:val="left"/>
        <w:spacing w:line="460" w:lineRule="exact"/>
        <w:rPr>
          <w:rFonts w:hint="eastAsia" w:ascii="宋体" w:hAnsi="宋体"/>
          <w:b/>
          <w:color w:val="auto"/>
          <w:szCs w:val="21"/>
          <w:highlight w:val="none"/>
        </w:rPr>
      </w:pPr>
      <w:r>
        <w:rPr>
          <w:rFonts w:hint="eastAsia" w:ascii="宋体" w:hAnsi="宋体"/>
          <w:b/>
          <w:color w:val="auto"/>
          <w:szCs w:val="21"/>
          <w:highlight w:val="none"/>
        </w:rPr>
        <w:t xml:space="preserve">一、项目概况</w:t>
      </w:r>
      <w:r/>
    </w:p>
    <w:p>
      <w:pPr>
        <w:ind w:firstLine="420"/>
        <w:jc w:val="left"/>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1、项目名称：意撒项目地块地下淤泥、杂土清运工程</w:t>
      </w:r>
      <w:r/>
    </w:p>
    <w:p>
      <w:pPr>
        <w:ind w:firstLine="420"/>
        <w:spacing w:line="460" w:lineRule="exact"/>
        <w:rPr>
          <w:rFonts w:hint="eastAsia" w:ascii="宋体" w:hAnsi="宋体"/>
          <w:color w:val="auto"/>
          <w:highlight w:val="none"/>
        </w:rPr>
      </w:pPr>
      <w:r>
        <w:rPr>
          <w:rFonts w:hint="eastAsia" w:ascii="宋体" w:hAnsi="宋体"/>
          <w:color w:val="auto"/>
          <w:highlight w:val="none"/>
        </w:rPr>
        <w:t xml:space="preserve">2、项目概况：本项目位于扬州市，主要施工内容为淤泥杂土清运等。</w:t>
      </w:r>
      <w:r/>
    </w:p>
    <w:p>
      <w:pPr>
        <w:ind w:firstLine="420"/>
        <w:spacing w:line="460" w:lineRule="exact"/>
        <w:rPr>
          <w:rFonts w:hint="eastAsia" w:ascii="宋体" w:hAnsi="宋体" w:cs="宋体"/>
          <w:color w:val="auto"/>
          <w:szCs w:val="21"/>
          <w:highlight w:val="none"/>
        </w:rPr>
      </w:pPr>
      <w:r>
        <w:rPr>
          <w:rFonts w:hint="eastAsia" w:ascii="宋体" w:hAnsi="宋体"/>
          <w:color w:val="auto"/>
          <w:szCs w:val="21"/>
          <w:highlight w:val="none"/>
        </w:rPr>
        <w:t xml:space="preserve">3、工期要求：</w:t>
      </w:r>
      <w:r>
        <w:rPr>
          <w:rFonts w:hint="eastAsia" w:ascii="宋体" w:hAnsi="宋体" w:cs="宋体"/>
          <w:color w:val="auto"/>
          <w:szCs w:val="21"/>
          <w:highlight w:val="none"/>
        </w:rPr>
        <w:t xml:space="preserve">合同签订后30日历天内完成整个工程的工程量并且合格，可交付采购人竣工验收投入使用。具体开工日期以开工令为准。</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r/>
    </w:p>
    <w:p>
      <w:pPr>
        <w:ind w:firstLine="420"/>
        <w:spacing w:line="460" w:lineRule="exact"/>
        <w:rPr>
          <w:rFonts w:hint="eastAsia" w:ascii="宋体" w:hAnsi="宋体" w:cs="宋体"/>
          <w:color w:val="auto"/>
          <w:szCs w:val="21"/>
          <w:highlight w:val="none"/>
        </w:rPr>
      </w:pPr>
      <w:r/>
      <w:bookmarkStart w:id="30" w:name="_Toc73113915"/>
      <w:r>
        <w:rPr>
          <w:rFonts w:hint="eastAsia" w:ascii="宋体" w:hAnsi="宋体" w:cs="宋体"/>
          <w:color w:val="auto"/>
          <w:szCs w:val="21"/>
          <w:highlight w:val="none"/>
        </w:rPr>
        <w:t xml:space="preserve">5、</w:t>
      </w:r>
      <w:bookmarkEnd w:id="30"/>
      <w:r>
        <w:rPr>
          <w:rFonts w:hint="eastAsia" w:ascii="宋体" w:hAnsi="宋体" w:cs="宋体"/>
          <w:color w:val="auto"/>
          <w:szCs w:val="21"/>
          <w:highlight w:val="none"/>
        </w:rPr>
        <w:t xml:space="preserve">预算金额：150万元</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最高投标限价：1493543.75元，超过最高投标限价的视为为无效报价，按照无效响应处理。</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6、工作内容：包含但不限于工程量清单</w:t>
      </w:r>
      <w:r>
        <w:rPr>
          <w:rFonts w:hint="eastAsia" w:ascii="宋体" w:hAnsi="宋体" w:cs="宋体"/>
          <w:color w:val="auto"/>
          <w:szCs w:val="21"/>
          <w:highlight w:val="none"/>
        </w:rPr>
        <w:t xml:space="preserve">范围内的所有工程施工。</w:t>
      </w:r>
      <w:r/>
    </w:p>
    <w:p>
      <w:pPr>
        <w:ind w:firstLine="422"/>
        <w:spacing w:line="400" w:lineRule="exact"/>
        <w:widowControl/>
        <w:rPr>
          <w:rFonts w:hint="eastAsia" w:ascii="宋体" w:hAnsi="宋体"/>
          <w:b/>
          <w:color w:val="auto"/>
          <w:szCs w:val="21"/>
          <w:highlight w:val="none"/>
        </w:rPr>
      </w:pPr>
      <w:r>
        <w:rPr>
          <w:rFonts w:hint="eastAsia" w:ascii="宋体" w:hAnsi="宋体" w:cs="宋体"/>
          <w:color w:val="auto"/>
          <w:szCs w:val="21"/>
          <w:highlight w:val="none"/>
        </w:rPr>
        <w:t xml:space="preserve">7、付款方式：</w:t>
      </w:r>
      <w:r>
        <w:rPr>
          <w:rFonts w:hint="eastAsia" w:ascii="宋体" w:hAnsi="宋体"/>
          <w:b/>
          <w:color w:val="auto"/>
          <w:szCs w:val="21"/>
          <w:highlight w:val="none"/>
        </w:rPr>
        <w:t xml:space="preserve">成交价即为合同价，合同签订后，甲方10个工作日内支付合同价的30%作为预付款；工程竣工验收合格后，付至合同价的80%；结算审计后付至审定价的100%。所有款项支付均需出具正式税务发票方能支付。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8、验收：采购项目总体验收。项目施工完成后，由采购人会同本项目成交供应商组织开展对所有施工项目的验收工作并形成专门的验收报告。如验收不通过的项目，成交供应商应无条件进行整改直至验收通过。</w:t>
      </w:r>
      <w:r/>
    </w:p>
    <w:p>
      <w:pPr>
        <w:spacing w:line="380" w:lineRule="exact"/>
        <w:rPr>
          <w:rFonts w:hint="eastAsia" w:ascii="宋体" w:hAnsi="宋体"/>
          <w:b/>
          <w:color w:val="auto"/>
          <w:highlight w:val="none"/>
        </w:rPr>
      </w:pPr>
      <w:r>
        <w:rPr>
          <w:rFonts w:hint="eastAsia" w:ascii="宋体" w:hAnsi="宋体"/>
          <w:b/>
          <w:color w:val="auto"/>
          <w:highlight w:val="none"/>
        </w:rPr>
        <w:t xml:space="preserve">二、作业质量标准</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1、保持进场道路整洁、畅通；</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2、严禁火种和易燃易爆物品带入场内；</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3、发现偷倒的垃圾必须及时清理干净并上报主管部门，确保地面无明显垃圾存在，零散的垃圾也要归堆清运，并统一运送垃圾堆放地点。如果现场的垃圾只需要摊铺填平，则需要挖机进行现场作业，按采购单位要求操作。</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4、符合我国现行各建筑工程施工操作规范及施工验收规范的各项有关规定。</w:t>
      </w:r>
      <w:r/>
    </w:p>
    <w:p>
      <w:pPr>
        <w:spacing w:line="380" w:lineRule="exact"/>
        <w:rPr>
          <w:rFonts w:hint="eastAsia" w:ascii="宋体" w:hAnsi="宋体"/>
          <w:b/>
          <w:color w:val="auto"/>
          <w:highlight w:val="none"/>
        </w:rPr>
      </w:pPr>
      <w:r>
        <w:rPr>
          <w:rFonts w:hint="eastAsia" w:ascii="宋体" w:hAnsi="宋体"/>
          <w:b/>
          <w:color w:val="auto"/>
          <w:highlight w:val="none"/>
        </w:rPr>
        <w:t xml:space="preserve">三、人员及机器设备要求（含驾驶员）</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1、作业人员无拾荒行为，无聚堆闲聊、瞌睡或做与工作无关之事。</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2、作业机器设备保持干净整洁，状况良好，机器设备上无乱挂放，工具摆放整齐。</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3、作业文明，采取有效措施减少扬尘、噪音、污水、占道等作业扰民问题。</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4、投标人承担所有作业人员的安全责任及费用。</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5、投标人应为作业人员提供工作服及必要的劳动防护用品。</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6、作业服务期内，采购人根据工作需要召开会议，成交单位负责人必须准时参加。</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7、机器设备采用符合采购人要求的专用设备，所有机器设备外观整洁，状况良好，</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8、专用机器设备必须符合法律法规要求，具备购买或租赁手续，所产生费用及事故责任均由成交人承担。</w:t>
      </w:r>
      <w:r/>
    </w:p>
    <w:p>
      <w:pPr>
        <w:spacing w:line="380" w:lineRule="exact"/>
        <w:rPr>
          <w:rFonts w:hint="eastAsia" w:ascii="宋体" w:hAnsi="宋体"/>
          <w:b/>
          <w:color w:val="auto"/>
          <w:highlight w:val="none"/>
        </w:rPr>
      </w:pPr>
      <w:r>
        <w:rPr>
          <w:rFonts w:hint="eastAsia" w:ascii="宋体" w:hAnsi="宋体"/>
          <w:b/>
          <w:color w:val="auto"/>
          <w:highlight w:val="none"/>
        </w:rPr>
        <w:t xml:space="preserve">四、其他磋商须知</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cs="Calibri"/>
          <w:color w:val="auto"/>
          <w:szCs w:val="21"/>
          <w:highlight w:val="none"/>
        </w:rPr>
        <w:br/>
      </w:r>
      <w:r>
        <w:rPr>
          <w:rFonts w:hint="eastAsia" w:ascii="宋体" w:hAnsi="宋体" w:cs="Calibri"/>
          <w:color w:val="auto"/>
          <w:szCs w:val="21"/>
          <w:highlight w:val="none"/>
        </w:rPr>
        <w:t xml:space="preserve">    3、本工程结算价需经有关部门审定确认，合同价中的安全文明施工措施费结算时按有权部门的核定结果调整；合同价中的暂列金额（规费、税金前）在工程款支付时、结算审定结果中扣除。</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2"/>
        <w:spacing w:line="380" w:lineRule="exact"/>
        <w:rPr>
          <w:rFonts w:hint="eastAsia" w:ascii="宋体" w:hAnsi="宋体"/>
          <w:b/>
          <w:bCs/>
          <w:i/>
          <w:color w:val="auto"/>
          <w:szCs w:val="21"/>
          <w:highlight w:val="none"/>
          <w:u w:val="single"/>
        </w:rPr>
      </w:pPr>
      <w:r>
        <w:rPr>
          <w:rFonts w:hint="eastAsia" w:ascii="宋体" w:hAnsi="宋体"/>
          <w:b/>
          <w:bCs/>
          <w:i/>
          <w:color w:val="auto"/>
          <w:szCs w:val="21"/>
          <w:highlight w:val="none"/>
          <w:u w:val="single"/>
        </w:rPr>
        <w:t xml:space="preserve">5、本项目采用固定单价合同，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80" w:lineRule="exact"/>
        <w:rPr>
          <w:rFonts w:hint="eastAsia" w:ascii="宋体" w:hAnsi="宋体"/>
          <w:i/>
          <w:color w:val="auto"/>
          <w:szCs w:val="21"/>
          <w:highlight w:val="none"/>
          <w:u w:val="single"/>
        </w:rPr>
      </w:pPr>
      <w:r>
        <w:rPr>
          <w:rFonts w:hint="eastAsia" w:ascii="宋体" w:hAnsi="宋体"/>
          <w:b/>
          <w:bCs/>
          <w:i/>
          <w:color w:val="auto"/>
          <w:szCs w:val="21"/>
          <w:highlight w:val="none"/>
          <w:u w:val="single"/>
        </w:rPr>
        <w:t xml:space="preserve">6、施工质量要求：合格，项目免费质保期按工程质量保修书执行。</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7、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8、成交供应商必须服从现场管理，对工序和材料及时报验，原材料及配件必须符合国家标准，经复试合格后方可使用。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9、施工过程中产生的垃圾及时清运，费用由成交供应商承担；建设工程不能影响整体美观，不能影响其他设施、设备的使用及功能，不能影响采购人正常工作开展。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11、工程量清单编制依据</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11.1、建设单位提供的意撒项目地块地下淤泥、杂土清运工程的相关资料；</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11.2、《建设工程工程量清单计价规范》(GB50500-2013)；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11.3、《房屋建筑与装饰工程工程量计算规范》(GB50854-2013)；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11.4、《通用安装工程工程量计算规范》(GB50856-2013)；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11.5、《市政工程工程量计算规范》(GB50857-2013)；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11.6、《江苏省建筑与装饰工程计价定额》(2014 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11.7、《江苏省市政工程计价定额》(2014 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11.8、《江苏省安装工程计价定额》(2014 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11.9、《江苏省建设工程费用定额》(2014年版)；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11.10、《扬州工程造价管理》2025 年第7期；</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11.11、苏建价站(2025)66号文《省住房城乡建设厅关于发布建设工程人工工资指导价的通知》；</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11.12、苏建价(2016)154号文《关于建筑业实施营改增后江苏省建设工程计价依据调整的通知》；</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11.13、省住房城乡建设厅(2018)24号文《关于调整建设工程按质论价等费用计取方法的公告》；</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11.14、国家及省发布的现行相关施工验收规范、标准图集；</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11.15、江苏省及扬州市的现行计价文件。</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12、报价编制要求 </w:t>
      </w:r>
      <w:r/>
    </w:p>
    <w:p>
      <w:pPr>
        <w:ind w:firstLine="420"/>
        <w:spacing w:line="380" w:lineRule="exact"/>
        <w:rPr>
          <w:rFonts w:hint="eastAsia" w:ascii="宋体" w:hAnsi="宋体"/>
          <w:color w:val="auto"/>
          <w:szCs w:val="21"/>
          <w:highlight w:val="none"/>
        </w:rPr>
      </w:pPr>
      <w:r>
        <w:rPr>
          <w:rFonts w:hint="eastAsia" w:ascii="宋体" w:hAnsi="宋体" w:cs="宋体"/>
          <w:color w:val="auto"/>
          <w:szCs w:val="21"/>
          <w:highlight w:val="none"/>
          <w:lang w:bidi="ar"/>
        </w:rPr>
        <w:t xml:space="preserve">12.1采购人测量数据及提供的相关资料，最终做法及工程量按实</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12.2本工程所有工程量根据</w:t>
      </w:r>
      <w:r>
        <w:rPr>
          <w:rFonts w:hint="eastAsia" w:ascii="宋体" w:hAnsi="宋体" w:cs="宋体"/>
          <w:color w:val="auto"/>
          <w:szCs w:val="21"/>
          <w:highlight w:val="none"/>
          <w:lang w:bidi="ar"/>
        </w:rPr>
        <w:t xml:space="preserve">采购人</w:t>
      </w:r>
      <w:r>
        <w:rPr>
          <w:rFonts w:hint="eastAsia" w:ascii="宋体" w:hAnsi="宋体"/>
          <w:color w:val="auto"/>
          <w:szCs w:val="21"/>
          <w:highlight w:val="none"/>
        </w:rPr>
        <w:t xml:space="preserve">提供工程量计算；</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12.3</w:t>
      </w:r>
      <w:r>
        <w:rPr>
          <w:rFonts w:hint="eastAsia" w:ascii="宋体" w:hAnsi="宋体" w:cs="宋体"/>
          <w:color w:val="auto"/>
          <w:szCs w:val="21"/>
          <w:highlight w:val="none"/>
          <w:lang w:bidi="ar"/>
        </w:rPr>
        <w:t xml:space="preserve">所有磋商报价以人民币表示，供应商报价单位为元，保留小数点后两位。</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12.4</w:t>
      </w:r>
      <w:r>
        <w:rPr>
          <w:rFonts w:hint="eastAsia" w:ascii="宋体" w:hAnsi="宋体" w:cs="宋体"/>
          <w:color w:val="auto"/>
          <w:szCs w:val="21"/>
          <w:highlight w:val="none"/>
          <w:lang w:bidi="ar"/>
        </w:rPr>
        <w:t xml:space="preserve">供应商在磋商截止时间前修改磋商函中的磋商总报价，应同时修改“工程量清单”中的相应报价。</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12.5除磋商文件有强制性规定以及不可竞争部分以外，磋商报价应根据磋商文件中的有关计价要求，并按照下列依据供应商根据工程实际情况和本企业经营管理水平自主合理报价，但不得低于企业成本价。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(1)本工程磋商文件、磋商文件(包括工程量清单)的澄清、补充和修改文件；</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 建设工程设计文件及相关资料；与建设项目相关的标准、规定等技术资料；</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 其他的相关资料。包括不限于：工程量清单报价中的项目单价与其数量相乘的总和，应与投标报价汇总表总价及磋商响应函中的总价相符，不符时以单价数量的总和为准。</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12.6报价中单价、合价均采用人民</w:t>
      </w:r>
      <w:r>
        <w:rPr>
          <w:rFonts w:hint="eastAsia" w:ascii="宋体" w:hAnsi="宋体" w:cs="宋体"/>
          <w:color w:val="auto"/>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12.7工程量清单成交价的单价或金额，应包括所需人工费、材料费、施工机械使用费和管理费及利润，以及一定范围内的风险费用。所谓“一定范围内的风险”是指合同约定的风险。</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12.8</w:t>
      </w:r>
      <w:r>
        <w:rPr>
          <w:rFonts w:hint="eastAsia" w:ascii="宋体" w:hAnsi="宋体" w:cs="宋体"/>
          <w:i/>
          <w:color w:val="auto"/>
          <w:szCs w:val="21"/>
          <w:highlight w:val="none"/>
          <w:u w:val="single"/>
          <w:lang w:bidi="ar"/>
        </w:rPr>
        <w:t xml:space="preserve">供应商的磋商报价，应当包括完成提供的工程量清单和规划图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12.9</w:t>
      </w:r>
      <w:r>
        <w:rPr>
          <w:rFonts w:hint="eastAsia" w:ascii="宋体" w:hAnsi="宋体" w:cs="宋体"/>
          <w:i/>
          <w:color w:val="auto"/>
          <w:szCs w:val="21"/>
          <w:highlight w:val="none"/>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12.10</w:t>
      </w:r>
      <w:r>
        <w:rPr>
          <w:rFonts w:hint="eastAsia" w:ascii="宋体" w:hAnsi="宋体" w:cs="宋体"/>
          <w:i/>
          <w:color w:val="auto"/>
          <w:szCs w:val="21"/>
          <w:highlight w:val="none"/>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12.11</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12.12</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04"/>
        <w:jc w:val="left"/>
        <w:spacing w:line="380" w:lineRule="exact"/>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13、供应商在报价时应按《建设工程工程量清单计价规范》（GB50500-2013）和磋商文件规定的格式，提供完整齐全的文件。</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14、磋商分项报价表即按照附件提供的工程量清单的格式进行填报，分别填报综合单价和合价，要求填报完整，漏报项视为价格已分摊到其他清单项中。</w:t>
      </w:r>
      <w:r/>
    </w:p>
    <w:p>
      <w:pPr>
        <w:ind w:firstLine="376"/>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15、单</w:t>
      </w:r>
      <w:r>
        <w:rPr>
          <w:rFonts w:hint="eastAsia" w:ascii="宋体" w:hAnsi="宋体" w:cs="宋体"/>
          <w:color w:val="auto"/>
          <w:szCs w:val="21"/>
          <w:highlight w:val="none"/>
          <w:lang w:bidi="ar"/>
        </w:rPr>
        <w:t xml:space="preserve">价和总价均应包括但不限于所有设备、材料、税金、包装费、运杂费、保险费、卸力费、安装调试费、资料费、保修期内维修费用及招标代理服务费等直至完全交付采购人使用的所有费用。</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16、供应商应当按磋商文件中所提供的响应报价表文件格式填写，如不够用时，供应商可按同样格式自行编制和添补。</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80" w:lineRule="exact"/>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18、供应商应综合考虑与本项目有关的所有因素与风险，若出现缺项、漏项等情况，由供应商自行承担。</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bidi="ar"/>
        </w:rPr>
        <w:t xml:space="preserve">、编制说明</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(1)甲方测量数据及提供的相关资料，最终做法及工程量按实；</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(2)清单中单价包括所需人工费、材料费、施工机械使用费和管理费及利润，以及一定的风险费用。</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(3)如提供的电子版清单与书面清单不符时，以书面清单为准，若只提供电子版的，则以电子版为准。清单特征描述不完整时，投标单位应结合施工图及相关规范、规定等进行综合考虑；</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(4)与建设工程相关的标准、规范、技术资料；</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(5)工程量清单及相关要求。</w:t>
      </w:r>
      <w:r/>
    </w:p>
    <w:p>
      <w:pPr>
        <w:spacing w:line="380" w:lineRule="exact"/>
        <w:rPr>
          <w:rFonts w:hint="eastAsia" w:ascii="宋体" w:hAnsi="宋体"/>
          <w:b/>
          <w:color w:val="auto"/>
          <w:highlight w:val="none"/>
        </w:rPr>
      </w:pPr>
      <w:r>
        <w:rPr>
          <w:rFonts w:hint="eastAsia" w:ascii="宋体" w:hAnsi="宋体"/>
          <w:b/>
          <w:color w:val="auto"/>
          <w:highlight w:val="none"/>
        </w:rPr>
        <w:t xml:space="preserve">五、安全责任</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成交供应商负责在清理建筑垃圾、土地复垦中一切安全工作，如发生人员伤亡等意外事故，一切后果全部由成交供应商负责，采购人不承担任何安全及事故责任。</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rPr>
          <w:color w:val="auto"/>
          <w:highlight w:val="none"/>
        </w:rPr>
      </w:pPr>
      <w:r>
        <w:rPr>
          <w:rFonts w:hint="eastAsia"/>
          <w:color w:val="auto"/>
          <w:highlight w:val="none"/>
        </w:rPr>
        <w:br w:type="page" w:clear="all"/>
      </w:r>
      <w:r/>
    </w:p>
    <w:p>
      <w:pPr>
        <w:pStyle w:val="692"/>
        <w:jc w:val="center"/>
        <w:spacing w:line="360" w:lineRule="auto"/>
        <w:rPr>
          <w:rFonts w:hint="eastAsia" w:ascii="宋体" w:hAnsi="宋体" w:cs="宋体"/>
          <w:color w:val="auto"/>
          <w:highlight w:val="none"/>
        </w:rPr>
      </w:pPr>
      <w:r/>
      <w:bookmarkStart w:id="31" w:name="_Toc109304975"/>
      <w:r/>
      <w:bookmarkStart w:id="32" w:name="_Toc26539"/>
      <w:r>
        <w:rPr>
          <w:rFonts w:hint="eastAsia" w:ascii="宋体" w:hAnsi="宋体" w:cs="宋体"/>
          <w:color w:val="auto"/>
          <w:highlight w:val="none"/>
        </w:rPr>
        <w:t xml:space="preserve">第五章 评审方法及评审标准</w:t>
      </w:r>
      <w:bookmarkEnd w:id="31"/>
      <w:r/>
      <w:bookmarkEnd w:id="32"/>
      <w:r/>
      <w:r/>
    </w:p>
    <w:p>
      <w:pPr>
        <w:pStyle w:val="889"/>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二、政府采购政策功能落实：本项目专门面向中小企业采购</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（1）本项目对小型和微型企业产品给予</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的扣除价格，用扣除后的价格参与评审。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（2）供应商需按照采购文件的要求提供相应的《中小企业声明函》，不符合要求或未提供的，响应文件无效。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的价格扣除，用扣除后的价格参与评审。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的价格扣除，用扣除后的价格参与评审。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（2）监狱企业参加政府采购活动时，需提供由省级以上监狱管理局、戒毒管理局(含新疆生产建设兵团)出具的属于监狱企业的证明文件。供应商如不提供上述证明文件，响应文件无效。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 </w:t>
      </w:r>
      <w:r/>
    </w:p>
    <w:p>
      <w:pPr>
        <w:pStyle w:val="879"/>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价格扣除，用扣除后的价格参与评审。</w:t>
      </w:r>
      <w:r/>
    </w:p>
    <w:p>
      <w:pPr>
        <w:pStyle w:val="879"/>
        <w:ind w:firstLine="422"/>
        <w:rPr>
          <w:rFonts w:hint="eastAsia" w:ascii="宋体" w:hAnsi="宋体"/>
          <w:b/>
          <w:bCs/>
          <w:color w:val="auto"/>
          <w:szCs w:val="21"/>
          <w:highlight w:val="none"/>
        </w:rPr>
      </w:pPr>
      <w:r>
        <w:rPr>
          <w:rFonts w:hint="eastAsia" w:ascii="宋体" w:hAnsi="宋体"/>
          <w:b/>
          <w:bCs/>
          <w:color w:val="auto"/>
          <w:szCs w:val="21"/>
          <w:highlight w:val="none"/>
        </w:rPr>
        <w:t xml:space="preserve">三、评审标准</w:t>
      </w:r>
      <w:r/>
    </w:p>
    <w:tbl>
      <w:tblPr>
        <w:tblStyle w:val="702"/>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701"/>
        <w:gridCol w:w="6120"/>
      </w:tblGrid>
      <w:tr>
        <w:trPr>
          <w:jc w:val="center"/>
          <w:trHeight w:val="455"/>
        </w:trPr>
        <w:tc>
          <w:tcPr>
            <w:tcW w:w="1218" w:type="dxa"/>
            <w:vAlign w:val="center"/>
            <w:textDirection w:val="lrTb"/>
            <w:noWrap w:val="false"/>
          </w:tcPr>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  目</w:t>
            </w:r>
            <w:r/>
          </w:p>
        </w:tc>
        <w:tc>
          <w:tcPr>
            <w:gridSpan w:val="2"/>
            <w:tcW w:w="7821" w:type="dxa"/>
            <w:vAlign w:val="center"/>
            <w:textDirection w:val="lrTb"/>
            <w:noWrap w:val="false"/>
          </w:tcPr>
          <w:p>
            <w:pPr>
              <w:ind w:firstLine="420"/>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  分  标  准</w:t>
            </w:r>
            <w:r/>
          </w:p>
        </w:tc>
      </w:tr>
      <w:tr>
        <w:trPr>
          <w:cantSplit/>
          <w:jc w:val="center"/>
          <w:trHeight w:val="90"/>
        </w:trPr>
        <w:tc>
          <w:tcPr>
            <w:tcBorders>
              <w:bottom w:val="single" w:color="auto" w:sz="4" w:space="0"/>
            </w:tcBorders>
            <w:tcW w:w="1218"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gridSpan w:val="2"/>
            <w:tcW w:w="7821" w:type="dxa"/>
            <w:vAlign w:val="center"/>
            <w:textDirection w:val="lrTb"/>
            <w:noWrap w:val="false"/>
          </w:tcPr>
          <w:p>
            <w:pPr>
              <w:rPr>
                <w:rFonts w:hint="eastAsia" w:ascii="宋体" w:hAnsi="宋体" w:cs="宋体"/>
                <w:color w:val="auto"/>
                <w:szCs w:val="21"/>
                <w:highlight w:val="none"/>
              </w:rPr>
            </w:pPr>
            <w:r>
              <w:rPr>
                <w:rFonts w:hint="eastAsia"/>
                <w:color w:val="auto"/>
                <w:highlight w:val="none"/>
              </w:rPr>
              <w:t xml:space="preserve">以满足磋商文件要求的最低报价为评审基准价，得满分30分，其他报价得分=（评审基准价/其他报价）×30×100%（计算出的分值保留2位小数）</w:t>
            </w:r>
            <w:r/>
          </w:p>
        </w:tc>
      </w:tr>
      <w:tr>
        <w:trPr>
          <w:cantSplit/>
          <w:jc w:val="center"/>
          <w:trHeight w:val="699"/>
        </w:trPr>
        <w:tc>
          <w:tcPr>
            <w:tcW w:w="1218"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施工组织设计</w:t>
            </w:r>
            <w:r/>
          </w:p>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（51分）</w:t>
            </w:r>
            <w:r/>
          </w:p>
        </w:tc>
        <w:tc>
          <w:tcPr>
            <w:tcW w:w="1701" w:type="dxa"/>
            <w:vAlign w:val="center"/>
            <w:textDirection w:val="lrTb"/>
            <w:noWrap w:val="false"/>
          </w:tcPr>
          <w:p>
            <w:pPr>
              <w:jc w:val="center"/>
              <w:spacing w:after="120" w:line="320" w:lineRule="exact"/>
              <w:rPr>
                <w:rFonts w:hint="eastAsia" w:ascii="宋体" w:hAnsi="宋体"/>
                <w:color w:val="auto"/>
                <w:szCs w:val="21"/>
                <w:highlight w:val="none"/>
              </w:rPr>
            </w:pPr>
            <w:r>
              <w:rPr>
                <w:rFonts w:hint="eastAsia" w:ascii="宋体" w:hAnsi="宋体"/>
                <w:color w:val="auto"/>
                <w:szCs w:val="21"/>
                <w:highlight w:val="none"/>
              </w:rPr>
              <w:t xml:space="preserve">总体概述</w:t>
            </w:r>
            <w:r/>
          </w:p>
          <w:p>
            <w:pPr>
              <w:jc w:val="center"/>
              <w:spacing w:after="120" w:line="320" w:lineRule="exact"/>
              <w:rPr>
                <w:rFonts w:ascii="Calibri" w:hAnsi="Calibri"/>
                <w:color w:val="auto"/>
                <w:szCs w:val="21"/>
                <w:highlight w:val="none"/>
              </w:rPr>
            </w:pPr>
            <w:r>
              <w:rPr>
                <w:rFonts w:hint="eastAsia" w:ascii="宋体" w:hAnsi="宋体" w:cs="宋体"/>
                <w:color w:val="auto"/>
                <w:szCs w:val="21"/>
                <w:highlight w:val="none"/>
              </w:rPr>
              <w:t xml:space="preserve">（6分）</w:t>
            </w:r>
            <w:r/>
          </w:p>
        </w:tc>
        <w:tc>
          <w:tcPr>
            <w:tcW w:w="612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评审小组根据供应商提供的总体概述（包括：工程概况、施工组织总体设想、方案的针对性及施工段的划分、施工现场平面布置和临时设施、临时道路布置等）进行综合评审。</w:t>
            </w:r>
            <w:r/>
          </w:p>
          <w:p>
            <w:pPr>
              <w:rPr>
                <w:rFonts w:hint="eastAsia" w:ascii="宋体" w:hAnsi="宋体"/>
                <w:color w:val="auto"/>
                <w:szCs w:val="21"/>
                <w:highlight w:val="none"/>
              </w:rPr>
            </w:pPr>
            <w:r>
              <w:rPr>
                <w:rFonts w:hint="eastAsia" w:ascii="宋体" w:hAnsi="宋体"/>
                <w:color w:val="auto"/>
                <w:szCs w:val="21"/>
                <w:highlight w:val="none"/>
              </w:rPr>
              <w:t xml:space="preserve">（1）方案先进、完整、可行，主导工程内容、施工方法明确、详尽、合理，能完全满足项目实施要求，得6分；</w:t>
            </w:r>
            <w:r/>
          </w:p>
          <w:p>
            <w:pPr>
              <w:rPr>
                <w:rFonts w:hint="eastAsia" w:ascii="宋体" w:hAnsi="宋体"/>
                <w:color w:val="auto"/>
                <w:szCs w:val="21"/>
                <w:highlight w:val="none"/>
              </w:rPr>
            </w:pPr>
            <w:r>
              <w:rPr>
                <w:rFonts w:hint="eastAsia" w:ascii="宋体" w:hAnsi="宋体"/>
                <w:color w:val="auto"/>
                <w:szCs w:val="21"/>
                <w:highlight w:val="none"/>
              </w:rPr>
              <w:t xml:space="preserve">（2）方案较先进、完整、可行，主导工程内容、施工方法明确、详尽、合理，能基本满足项目实施要求，得4分；</w:t>
            </w:r>
            <w:r/>
          </w:p>
          <w:p>
            <w:pPr>
              <w:rPr>
                <w:rFonts w:hint="eastAsia" w:ascii="宋体" w:hAnsi="宋体"/>
                <w:color w:val="auto"/>
                <w:szCs w:val="21"/>
                <w:highlight w:val="none"/>
              </w:rPr>
            </w:pPr>
            <w:r>
              <w:rPr>
                <w:rFonts w:hint="eastAsia" w:ascii="宋体" w:hAnsi="宋体"/>
                <w:color w:val="auto"/>
                <w:szCs w:val="21"/>
                <w:highlight w:val="none"/>
              </w:rPr>
              <w:t xml:space="preserve">（3）方案内容较简单，对项目实施要求响应一般，得2分；</w:t>
            </w:r>
            <w:r/>
          </w:p>
          <w:p>
            <w:pPr>
              <w:rPr>
                <w:rFonts w:hint="eastAsia" w:ascii="宋体" w:hAnsi="宋体"/>
                <w:color w:val="auto"/>
                <w:szCs w:val="21"/>
                <w:highlight w:val="none"/>
              </w:rPr>
            </w:pPr>
            <w:r>
              <w:rPr>
                <w:rFonts w:hint="eastAsia" w:ascii="宋体" w:hAnsi="宋体"/>
                <w:color w:val="auto"/>
                <w:szCs w:val="21"/>
                <w:highlight w:val="none"/>
              </w:rPr>
              <w:t xml:space="preserve">（4）方案内容较差、无针对性或可行性较差，得1分；</w:t>
            </w:r>
            <w:r/>
          </w:p>
          <w:p>
            <w:pPr>
              <w:rPr>
                <w:color w:val="auto"/>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1404"/>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color w:val="auto"/>
                <w:szCs w:val="24"/>
                <w:highlight w:val="none"/>
              </w:rPr>
            </w:pPr>
            <w:r>
              <w:rPr>
                <w:rFonts w:hint="eastAsia"/>
                <w:color w:val="auto"/>
                <w:szCs w:val="24"/>
                <w:highlight w:val="none"/>
              </w:rPr>
              <w:t xml:space="preserve">施工方案</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c>
          <w:tcPr>
            <w:tcW w:w="612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评审小组根据供应商提供的施工方案进行综合评审。</w:t>
            </w:r>
            <w:r/>
          </w:p>
          <w:p>
            <w:pPr>
              <w:rPr>
                <w:rFonts w:hint="eastAsia" w:ascii="宋体" w:hAnsi="宋体"/>
                <w:color w:val="auto"/>
                <w:szCs w:val="21"/>
                <w:highlight w:val="none"/>
              </w:rPr>
            </w:pPr>
            <w:r>
              <w:rPr>
                <w:rFonts w:hint="eastAsia" w:ascii="宋体" w:hAnsi="宋体"/>
                <w:color w:val="auto"/>
                <w:szCs w:val="21"/>
                <w:highlight w:val="none"/>
              </w:rPr>
              <w:t xml:space="preserve">（1）方案完整、可行，能完全满足项目实施要求，得6分；</w:t>
            </w:r>
            <w:r/>
          </w:p>
          <w:p>
            <w:pPr>
              <w:rPr>
                <w:rFonts w:hint="eastAsia" w:ascii="宋体" w:hAnsi="宋体"/>
                <w:color w:val="auto"/>
                <w:szCs w:val="21"/>
                <w:highlight w:val="none"/>
              </w:rPr>
            </w:pPr>
            <w:r>
              <w:rPr>
                <w:rFonts w:hint="eastAsia" w:ascii="宋体" w:hAnsi="宋体"/>
                <w:color w:val="auto"/>
                <w:szCs w:val="21"/>
                <w:highlight w:val="none"/>
              </w:rPr>
              <w:t xml:space="preserve">（2）方案较具体、可行，能基本满足项目实施要求，得4分；</w:t>
            </w:r>
            <w:r/>
          </w:p>
          <w:p>
            <w:pPr>
              <w:rPr>
                <w:rFonts w:hint="eastAsia" w:ascii="宋体" w:hAnsi="宋体"/>
                <w:color w:val="auto"/>
                <w:szCs w:val="21"/>
                <w:highlight w:val="none"/>
              </w:rPr>
            </w:pPr>
            <w:r>
              <w:rPr>
                <w:rFonts w:hint="eastAsia" w:ascii="宋体" w:hAnsi="宋体"/>
                <w:color w:val="auto"/>
                <w:szCs w:val="21"/>
                <w:highlight w:val="none"/>
              </w:rPr>
              <w:t xml:space="preserve">（3）方案内容较简单，对项目实施要求响应一般，得2分；</w:t>
            </w:r>
            <w:r/>
          </w:p>
          <w:p>
            <w:pPr>
              <w:rPr>
                <w:rFonts w:hint="eastAsia" w:ascii="宋体" w:hAnsi="宋体"/>
                <w:color w:val="auto"/>
                <w:szCs w:val="21"/>
                <w:highlight w:val="none"/>
              </w:rPr>
            </w:pPr>
            <w:r>
              <w:rPr>
                <w:rFonts w:hint="eastAsia" w:ascii="宋体" w:hAnsi="宋体"/>
                <w:color w:val="auto"/>
                <w:szCs w:val="21"/>
                <w:highlight w:val="none"/>
              </w:rPr>
              <w:t xml:space="preserve">（4）方案内容较差、无针对性或可行性较差，得1分；</w:t>
            </w:r>
            <w:r/>
          </w:p>
          <w:p>
            <w:pPr>
              <w:rPr>
                <w:color w:val="auto"/>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699"/>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color w:val="auto"/>
                <w:szCs w:val="24"/>
                <w:highlight w:val="none"/>
              </w:rPr>
              <w:t xml:space="preserve">施工进度计划和各阶段进度的保证措施（6分）</w:t>
            </w:r>
            <w:r/>
          </w:p>
        </w:tc>
        <w:tc>
          <w:tcPr>
            <w:tcW w:w="6120" w:type="dxa"/>
            <w:vAlign w:val="center"/>
            <w:textDirection w:val="lrTb"/>
            <w:noWrap w:val="false"/>
          </w:tcPr>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评审小组根据供应商提供的施工进度计划和各阶段进度的保证措施进行综合评审。</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（1）措施方案完整、可行，能完全满足项目实施要求，得6分；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（2）措施方案较具体、可行，能基本满足项目实施要求，得4分；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（3）措施方案内容较简单，对项目实施要求响应一般，得2分；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（4）措施方案内容较差、无针对性或可行性较差，得1分；</w:t>
            </w:r>
            <w:r/>
          </w:p>
          <w:p>
            <w:pPr>
              <w:spacing w:line="320" w:lineRule="atLeast"/>
              <w:rPr>
                <w:rFonts w:hint="eastAsia" w:ascii="宋体" w:hAnsi="宋体"/>
                <w:color w:val="auto"/>
                <w:sz w:val="24"/>
                <w:szCs w:val="24"/>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1620"/>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color w:val="auto"/>
                <w:szCs w:val="24"/>
                <w:highlight w:val="none"/>
              </w:rPr>
              <w:t xml:space="preserve">质量保证措施（6分）</w:t>
            </w:r>
            <w:r/>
          </w:p>
        </w:tc>
        <w:tc>
          <w:tcPr>
            <w:tcW w:w="6120" w:type="dxa"/>
            <w:vAlign w:val="center"/>
            <w:textDirection w:val="lrTb"/>
            <w:noWrap w:val="false"/>
          </w:tcPr>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评审小组根据供应商提供的质量保证措施进行综合评审。</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（1）措施方案完整、可行，能完全满足项目实施要求，得6分；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（2）措施方案较具体、可行，能基本满足项目实施要求，得4分；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（3）措施方案内容较简单，对项目实施要求响应一般，得2分；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（4）措施方案内容较差、无针对性或可行性较差，得1分；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699"/>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应急保障方案（6分）</w:t>
            </w:r>
            <w:r/>
          </w:p>
        </w:tc>
        <w:tc>
          <w:tcPr>
            <w:tcW w:w="6120" w:type="dxa"/>
            <w:vAlign w:val="center"/>
            <w:textDirection w:val="lrTb"/>
            <w:noWrap w:val="false"/>
          </w:tcPr>
          <w:p>
            <w:pPr>
              <w:spacing w:line="320" w:lineRule="atLeast"/>
              <w:rPr>
                <w:color w:val="auto"/>
                <w:highlight w:val="none"/>
              </w:rPr>
            </w:pPr>
            <w:r>
              <w:rPr>
                <w:rFonts w:hint="eastAsia"/>
                <w:color w:val="auto"/>
                <w:highlight w:val="none"/>
              </w:rPr>
              <w:t xml:space="preserve">评审小组根据供应商提供的应急保障方案进行综合评审。</w:t>
            </w:r>
            <w:r/>
          </w:p>
          <w:p>
            <w:pPr>
              <w:spacing w:line="320" w:lineRule="atLeast"/>
              <w:rPr>
                <w:color w:val="auto"/>
                <w:highlight w:val="none"/>
              </w:rPr>
            </w:pPr>
            <w:r>
              <w:rPr>
                <w:rFonts w:hint="eastAsia"/>
                <w:color w:val="auto"/>
                <w:highlight w:val="none"/>
              </w:rPr>
              <w:t xml:space="preserve">（1）方案完整、可行，能完全满足项目实施要求，得6分；</w:t>
            </w:r>
            <w:r/>
          </w:p>
          <w:p>
            <w:pPr>
              <w:spacing w:line="320" w:lineRule="atLeast"/>
              <w:rPr>
                <w:color w:val="auto"/>
                <w:highlight w:val="none"/>
              </w:rPr>
            </w:pPr>
            <w:r>
              <w:rPr>
                <w:rFonts w:hint="eastAsia"/>
                <w:color w:val="auto"/>
                <w:highlight w:val="none"/>
              </w:rPr>
              <w:t xml:space="preserve">（2）方案较具体、可行，能基本满足项目实施要求，得4分；</w:t>
            </w:r>
            <w:r/>
          </w:p>
          <w:p>
            <w:pPr>
              <w:spacing w:line="320" w:lineRule="atLeast"/>
              <w:rPr>
                <w:color w:val="auto"/>
                <w:highlight w:val="none"/>
              </w:rPr>
            </w:pPr>
            <w:r>
              <w:rPr>
                <w:rFonts w:hint="eastAsia"/>
                <w:color w:val="auto"/>
                <w:highlight w:val="none"/>
              </w:rPr>
              <w:t xml:space="preserve">（3）方案内容较简单，对项目实施要求响应一般，得2分；</w:t>
            </w:r>
            <w:r/>
          </w:p>
          <w:p>
            <w:pPr>
              <w:spacing w:line="320" w:lineRule="atLeast"/>
              <w:rPr>
                <w:color w:val="auto"/>
                <w:highlight w:val="none"/>
              </w:rPr>
            </w:pPr>
            <w:r>
              <w:rPr>
                <w:rFonts w:hint="eastAsia"/>
                <w:color w:val="auto"/>
                <w:highlight w:val="none"/>
              </w:rPr>
              <w:t xml:space="preserve">（4）方案内容较差、无针对性或可行性较差，得1分；</w:t>
            </w:r>
            <w:r/>
          </w:p>
          <w:p>
            <w:pPr>
              <w:spacing w:line="320" w:lineRule="atLeast"/>
              <w:rPr>
                <w:color w:val="auto"/>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699"/>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ascii="Calibri" w:hAnsi="Calibri"/>
                <w:color w:val="auto"/>
                <w:szCs w:val="21"/>
                <w:highlight w:val="none"/>
              </w:rPr>
            </w:pPr>
            <w:r>
              <w:rPr>
                <w:rFonts w:hint="eastAsia" w:ascii="宋体" w:hAnsi="宋体"/>
                <w:color w:val="auto"/>
                <w:szCs w:val="21"/>
                <w:highlight w:val="none"/>
              </w:rPr>
              <w:t xml:space="preserve">安全文明施工及环境保护措施（5分）</w:t>
            </w:r>
            <w:r/>
          </w:p>
        </w:tc>
        <w:tc>
          <w:tcPr>
            <w:tcW w:w="6120" w:type="dxa"/>
            <w:vAlign w:val="center"/>
            <w:textDirection w:val="lrTb"/>
            <w:noWrap w:val="false"/>
          </w:tcPr>
          <w:p>
            <w:pPr>
              <w:spacing w:line="320" w:lineRule="atLeast"/>
              <w:rPr>
                <w:color w:val="auto"/>
                <w:highlight w:val="none"/>
              </w:rPr>
            </w:pPr>
            <w:r>
              <w:rPr>
                <w:rFonts w:hint="eastAsia"/>
                <w:color w:val="auto"/>
                <w:highlight w:val="none"/>
              </w:rPr>
              <w:t xml:space="preserve">评审小组根据供应商提供的安全文明施工及环境保护措施进行综合评审。</w:t>
            </w:r>
            <w:r/>
          </w:p>
          <w:p>
            <w:pPr>
              <w:spacing w:line="320" w:lineRule="atLeast"/>
              <w:rPr>
                <w:color w:val="auto"/>
                <w:highlight w:val="none"/>
              </w:rPr>
            </w:pPr>
            <w:r>
              <w:rPr>
                <w:rFonts w:hint="eastAsia"/>
                <w:color w:val="auto"/>
                <w:highlight w:val="none"/>
              </w:rPr>
              <w:t xml:space="preserve">（1）措施方案完整、可行，能完全满足项目实施要求，得5分；</w:t>
            </w:r>
            <w:r/>
          </w:p>
          <w:p>
            <w:pPr>
              <w:spacing w:line="320" w:lineRule="atLeast"/>
              <w:rPr>
                <w:color w:val="auto"/>
                <w:highlight w:val="none"/>
              </w:rPr>
            </w:pPr>
            <w:r>
              <w:rPr>
                <w:rFonts w:hint="eastAsia"/>
                <w:color w:val="auto"/>
                <w:highlight w:val="none"/>
              </w:rPr>
              <w:t xml:space="preserve">（2）措施方案较具体、可行，能基本满足项目实施要求，得4分；</w:t>
            </w:r>
            <w:r/>
          </w:p>
          <w:p>
            <w:pPr>
              <w:spacing w:line="320" w:lineRule="atLeast"/>
              <w:rPr>
                <w:color w:val="auto"/>
                <w:highlight w:val="none"/>
              </w:rPr>
            </w:pPr>
            <w:r>
              <w:rPr>
                <w:rFonts w:hint="eastAsia"/>
                <w:color w:val="auto"/>
                <w:highlight w:val="none"/>
              </w:rPr>
              <w:t xml:space="preserve">（3）措施方案内容较简单，对项目实施要求响应一般，得2分；</w:t>
            </w:r>
            <w:r/>
          </w:p>
          <w:p>
            <w:pPr>
              <w:spacing w:line="320" w:lineRule="atLeast"/>
              <w:rPr>
                <w:color w:val="auto"/>
                <w:highlight w:val="none"/>
              </w:rPr>
            </w:pPr>
            <w:r>
              <w:rPr>
                <w:rFonts w:hint="eastAsia"/>
                <w:color w:val="auto"/>
                <w:highlight w:val="none"/>
              </w:rPr>
              <w:t xml:space="preserve">（4）措施方案内容较差、无针对性或可行性较差，得1分；</w:t>
            </w:r>
            <w:r/>
          </w:p>
          <w:p>
            <w:pPr>
              <w:spacing w:line="320" w:lineRule="atLeast"/>
              <w:rPr>
                <w:color w:val="auto"/>
                <w:highlight w:val="none"/>
              </w:rPr>
            </w:pPr>
            <w:r>
              <w:rPr>
                <w:rFonts w:hint="eastAsia"/>
                <w:color w:val="auto"/>
                <w:highlight w:val="none"/>
              </w:rPr>
              <w:t xml:space="preserve">（5）</w:t>
            </w:r>
            <w:r>
              <w:rPr>
                <w:rFonts w:hint="eastAsia" w:ascii="宋体" w:hAnsi="宋体"/>
                <w:color w:val="auto"/>
                <w:szCs w:val="21"/>
                <w:highlight w:val="none"/>
              </w:rPr>
              <w:t xml:space="preserve">全不符合采购文件要求或未提供本项内容不得分。</w:t>
            </w:r>
            <w:r/>
          </w:p>
        </w:tc>
      </w:tr>
      <w:tr>
        <w:trPr>
          <w:cantSplit/>
          <w:jc w:val="center"/>
          <w:trHeight w:val="962"/>
        </w:trPr>
        <w:tc>
          <w:tcPr>
            <w:tcW w:w="1218" w:type="dxa"/>
            <w:vAlign w:val="center"/>
            <w:vMerge w:val="continue"/>
            <w:textDirection w:val="lrTb"/>
            <w:noWrap w:val="false"/>
          </w:tcPr>
          <w:p>
            <w:pPr>
              <w:jc w:val="center"/>
              <w:spacing w:line="320" w:lineRule="exact"/>
              <w:rPr>
                <w:rFonts w:ascii="Calibri" w:hAnsi="Calibri"/>
                <w:color w:val="auto"/>
                <w:szCs w:val="21"/>
                <w:highlight w:val="none"/>
              </w:rPr>
            </w:pPr>
            <w:r>
              <w:rPr>
                <w:rFonts w:ascii="Calibri" w:hAnsi="Calibri"/>
                <w:color w:val="auto"/>
                <w:szCs w:val="21"/>
                <w:highlight w:val="none"/>
              </w:rPr>
            </w:r>
            <w:r/>
          </w:p>
        </w:tc>
        <w:tc>
          <w:tcPr>
            <w:tcW w:w="170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劳动力、机械设备和材料投入计划方案（5分）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评审小组根据供应商提供的劳动力、机械设备和材料投入计划方案进行综合评审。</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（1）方案完整、可行，能完全满足项目实施要求，得5分；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（2）方案较具体、可行，能基本满足项目实施要求，得4分；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（3）方案内容较简单，对项目实施要求响应一般，得2分；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（4）方案内容较差、无针对性或可行性较差，得1分；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全不符合采购文件要求或未提供本项内容不得分。</w:t>
            </w:r>
            <w:r/>
          </w:p>
        </w:tc>
      </w:tr>
      <w:tr>
        <w:trPr>
          <w:cantSplit/>
          <w:jc w:val="center"/>
          <w:trHeight w:val="962"/>
        </w:trPr>
        <w:tc>
          <w:tcPr>
            <w:tcW w:w="1218" w:type="dxa"/>
            <w:vAlign w:val="center"/>
            <w:vMerge w:val="continue"/>
            <w:textDirection w:val="lrTb"/>
            <w:noWrap w:val="false"/>
          </w:tcPr>
          <w:p>
            <w:pPr>
              <w:jc w:val="center"/>
              <w:spacing w:line="320" w:lineRule="exact"/>
              <w:rPr>
                <w:rFonts w:ascii="Calibri" w:hAnsi="Calibri"/>
                <w:color w:val="auto"/>
                <w:szCs w:val="21"/>
                <w:highlight w:val="none"/>
              </w:rPr>
            </w:pPr>
            <w:r>
              <w:rPr>
                <w:rFonts w:ascii="Calibri" w:hAnsi="Calibri"/>
                <w:color w:val="auto"/>
                <w:szCs w:val="21"/>
                <w:highlight w:val="none"/>
              </w:rPr>
            </w:r>
            <w:r/>
          </w:p>
        </w:tc>
        <w:tc>
          <w:tcPr>
            <w:tcW w:w="1701" w:type="dxa"/>
            <w:vAlign w:val="center"/>
            <w:textDirection w:val="lrTb"/>
            <w:noWrap w:val="false"/>
          </w:tcPr>
          <w:p>
            <w:pPr>
              <w:jc w:val="center"/>
              <w:spacing w:line="360" w:lineRule="auto"/>
              <w:rPr>
                <w:rFonts w:ascii="Calibri" w:hAnsi="Calibri"/>
                <w:color w:val="auto"/>
                <w:szCs w:val="21"/>
                <w:highlight w:val="none"/>
              </w:rPr>
            </w:pPr>
            <w:r>
              <w:rPr>
                <w:rFonts w:hint="eastAsia" w:ascii="Calibri" w:hAnsi="Calibri"/>
                <w:color w:val="auto"/>
                <w:szCs w:val="21"/>
                <w:highlight w:val="none"/>
              </w:rPr>
              <w:t xml:space="preserve">关键施工技术、工艺及工程项目实施的重点、难点和解决方案（6分）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评审小组根据供应商提供的关键施工技术、工艺及工程项目实施的重点、难点和解决方案进行综合评审。</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（1）方案完整、可行，能完全满足项目实施要求，得6分；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（2）方案较具体、可行，能基本满足项目实施要求，得4分；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（3）方案内容较简单，对项目实施要求响应一般，得2分；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（4）方案内容较差、无针对性或可行性较差，得1分；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全不符合采购文件要求或未提供本项内容不得分。</w:t>
            </w:r>
            <w:r/>
          </w:p>
        </w:tc>
      </w:tr>
      <w:tr>
        <w:trPr>
          <w:cantSplit/>
          <w:jc w:val="center"/>
          <w:trHeight w:val="962"/>
        </w:trPr>
        <w:tc>
          <w:tcPr>
            <w:tcW w:w="1218" w:type="dxa"/>
            <w:vAlign w:val="center"/>
            <w:vMerge w:val="continue"/>
            <w:textDirection w:val="lrTb"/>
            <w:noWrap w:val="false"/>
          </w:tcPr>
          <w:p>
            <w:pPr>
              <w:jc w:val="center"/>
              <w:spacing w:line="320" w:lineRule="exact"/>
              <w:rPr>
                <w:rFonts w:ascii="Calibri" w:hAnsi="Calibri"/>
                <w:color w:val="auto"/>
                <w:szCs w:val="21"/>
                <w:highlight w:val="none"/>
              </w:rPr>
            </w:pPr>
            <w:r>
              <w:rPr>
                <w:rFonts w:ascii="Calibri" w:hAnsi="Calibri"/>
                <w:color w:val="auto"/>
                <w:szCs w:val="21"/>
                <w:highlight w:val="none"/>
              </w:rPr>
            </w:r>
            <w:r/>
          </w:p>
        </w:tc>
        <w:tc>
          <w:tcPr>
            <w:tcW w:w="1701" w:type="dxa"/>
            <w:vAlign w:val="center"/>
            <w:textDirection w:val="lrTb"/>
            <w:noWrap w:val="false"/>
          </w:tcPr>
          <w:p>
            <w:pPr>
              <w:jc w:val="center"/>
              <w:spacing w:line="360" w:lineRule="auto"/>
              <w:rPr>
                <w:rFonts w:ascii="Calibri" w:hAnsi="Calibri"/>
                <w:color w:val="auto"/>
                <w:szCs w:val="21"/>
                <w:highlight w:val="none"/>
              </w:rPr>
            </w:pPr>
            <w:r>
              <w:rPr>
                <w:rFonts w:hint="eastAsia" w:ascii="Calibri" w:hAnsi="Calibri"/>
                <w:color w:val="auto"/>
                <w:szCs w:val="21"/>
                <w:highlight w:val="none"/>
              </w:rPr>
              <w:t xml:space="preserve">降低成本、提高经济效益措施（5分）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评审小组根据供应商提供的降低成本、提高经济效益措施进行综合评审。</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措施科学、严密、合理，描述详细且具有针对性，不存在瑕的得5分；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措施较科学、合理，描述较详细，针对性较强的，或存在1处瑕疵的得3分；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措施基本合理、描述不到位、针对性不强的，或存在2处瑕疵得1分；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未提供或不满足采购需求或存在3处瑕疵及以上的不得分。</w:t>
            </w:r>
            <w:r/>
          </w:p>
        </w:tc>
      </w:tr>
      <w:tr>
        <w:trPr>
          <w:cantSplit/>
          <w:jc w:val="center"/>
          <w:trHeight w:val="962"/>
        </w:trPr>
        <w:tc>
          <w:tcPr>
            <w:gridSpan w:val="2"/>
            <w:tcW w:w="2919" w:type="dxa"/>
            <w:vAlign w:val="center"/>
            <w:textDirection w:val="lrTb"/>
            <w:noWrap w:val="false"/>
          </w:tcPr>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业绩</w:t>
            </w:r>
            <w:r/>
          </w:p>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（12分）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供应商20</w:t>
            </w:r>
            <w:r>
              <w:rPr>
                <w:rFonts w:ascii="宋体" w:hAnsi="宋体" w:cs="宋体"/>
                <w:color w:val="auto"/>
                <w:szCs w:val="21"/>
                <w:highlight w:val="none"/>
              </w:rPr>
              <w:t xml:space="preserve">2</w:t>
            </w:r>
            <w:r>
              <w:rPr>
                <w:rFonts w:hint="eastAsia" w:ascii="宋体" w:hAnsi="宋体" w:cs="宋体"/>
                <w:color w:val="auto"/>
                <w:szCs w:val="21"/>
                <w:highlight w:val="none"/>
              </w:rPr>
              <w:t xml:space="preserve">0年1月1日（以合同签订时间为准）以来承担过类似项目业绩的有一个得3分，最高12分，未提供的不得分。</w:t>
            </w:r>
            <w:r/>
          </w:p>
          <w:p>
            <w:pPr>
              <w:spacing w:after="120" w:line="320" w:lineRule="exact"/>
              <w:rPr>
                <w:rFonts w:ascii="Calibri" w:hAnsi="Calibri"/>
                <w:color w:val="auto"/>
                <w:szCs w:val="21"/>
                <w:highlight w:val="none"/>
              </w:rPr>
            </w:pPr>
            <w:r>
              <w:rPr>
                <w:rFonts w:hint="eastAsia" w:ascii="Calibri" w:hAnsi="Calibri"/>
                <w:b/>
                <w:bCs/>
                <w:color w:val="auto"/>
                <w:szCs w:val="21"/>
                <w:highlight w:val="none"/>
              </w:rPr>
              <w:t xml:space="preserve">（合同原件扫描上传）</w:t>
            </w:r>
            <w:r/>
          </w:p>
        </w:tc>
      </w:tr>
      <w:tr>
        <w:trPr>
          <w:cantSplit/>
          <w:jc w:val="center"/>
          <w:trHeight w:val="962"/>
        </w:trPr>
        <w:tc>
          <w:tcPr>
            <w:gridSpan w:val="2"/>
            <w:tcW w:w="2919" w:type="dxa"/>
            <w:vAlign w:val="center"/>
            <w:textDirection w:val="lrTb"/>
            <w:noWrap w:val="false"/>
          </w:tcPr>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项目管理机构</w:t>
            </w:r>
            <w:r/>
          </w:p>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（7分）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1、项目经理或项目技术负责人具有工程师职称的得1分，具有高级工程师及以上职称的得3分；最高得3分。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2、项目组成员具有注册二级造价工程师的得1分，具有注册一级造价工程师的得2分；最高得2分。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3、项目安全负责人具有注册安全工程师证书的得2分，最高得2分。</w:t>
            </w:r>
            <w:r/>
          </w:p>
          <w:p>
            <w:pPr>
              <w:spacing w:line="32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（提供相关证书及供应商为其缴纳的近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rPr>
              <w:t xml:space="preserve">中任意一个月的社保证明材料，原件扫描上传）</w:t>
            </w:r>
            <w:r/>
          </w:p>
        </w:tc>
      </w:tr>
      <w:tr>
        <w:trPr>
          <w:jc w:val="center"/>
          <w:trHeight w:val="341"/>
        </w:trPr>
        <w:tc>
          <w:tcPr>
            <w:gridSpan w:val="3"/>
            <w:tcW w:w="9039" w:type="dxa"/>
            <w:vAlign w:val="center"/>
            <w:textDirection w:val="lrTb"/>
            <w:noWrap w:val="false"/>
          </w:tcPr>
          <w:p>
            <w:pPr>
              <w:ind w:firstLine="42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合计：100分</w:t>
            </w:r>
            <w:r/>
          </w:p>
        </w:tc>
      </w:tr>
    </w:tbl>
    <w:p>
      <w:pPr>
        <w:pStyle w:val="880"/>
        <w:ind w:left="0" w:firstLine="0"/>
        <w:rPr>
          <w:color w:val="auto"/>
          <w:highlight w:val="none"/>
        </w:rPr>
      </w:pPr>
      <w:r>
        <w:rPr>
          <w:color w:val="auto"/>
          <w:highlight w:val="none"/>
        </w:rPr>
      </w:r>
      <w:r/>
    </w:p>
    <w:p>
      <w:pPr>
        <w:pStyle w:val="881"/>
        <w:rPr>
          <w:color w:val="auto"/>
          <w:highlight w:val="none"/>
        </w:rPr>
      </w:pPr>
      <w:r>
        <w:rPr>
          <w:color w:val="auto"/>
          <w:highlight w:val="none"/>
        </w:rPr>
      </w:r>
      <w:r/>
    </w:p>
    <w:p>
      <w:pPr>
        <w:pStyle w:val="882"/>
        <w:ind w:firstLine="420"/>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692"/>
        <w:jc w:val="center"/>
        <w:spacing w:line="360" w:lineRule="auto"/>
        <w:rPr>
          <w:rFonts w:hint="eastAsia" w:ascii="宋体" w:hAnsi="宋体" w:cs="宋体"/>
          <w:color w:val="auto"/>
          <w:sz w:val="52"/>
          <w:highlight w:val="none"/>
        </w:rPr>
      </w:pPr>
      <w:r/>
      <w:bookmarkStart w:id="33" w:name="_Toc6227"/>
      <w:r>
        <w:rPr>
          <w:rFonts w:hint="eastAsia" w:ascii="宋体" w:hAnsi="宋体" w:cs="宋体"/>
          <w:color w:val="auto"/>
          <w:highlight w:val="none"/>
        </w:rPr>
        <w:t xml:space="preserve">第六章 竞争性磋商响应文件格式</w:t>
      </w:r>
      <w:bookmarkEnd w:id="33"/>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bookmarkStart w:id="49" w:name="_GoBack"/>
      <w:r/>
      <w:bookmarkEnd w:id="49"/>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0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37"/>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90"/>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137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w:t>
            </w:r>
            <w:r>
              <w:rPr>
                <w:rFonts w:hint="eastAsia" w:ascii="宋体" w:hAnsi="宋体" w:cs="宋体"/>
                <w:b/>
                <w:bCs/>
                <w:color w:val="auto"/>
                <w:szCs w:val="21"/>
                <w:highlight w:val="none"/>
                <w:lang w:val="en-US" w:eastAsia="zh-CN"/>
              </w:rPr>
              <w:t xml:space="preserve">近</w:t>
            </w:r>
            <w:r>
              <w:rPr>
                <w:rFonts w:hint="eastAsia" w:ascii="宋体" w:hAnsi="宋体" w:cs="宋体"/>
                <w:b/>
                <w:bCs/>
                <w:color w:val="auto"/>
                <w:szCs w:val="21"/>
                <w:highlight w:val="none"/>
              </w:rPr>
              <w:t xml:space="preserve">一年内任意一个月缴纳职工社会保障资金的缴款凭证或缴款证明)（供应商依法享受缓缴、免缴的提供证明材料）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7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近</w:t>
            </w:r>
            <w:r>
              <w:rPr>
                <w:rFonts w:hint="eastAsia" w:ascii="宋体" w:hAnsi="宋体" w:cs="宋体"/>
                <w:color w:val="auto"/>
                <w:szCs w:val="21"/>
                <w:highlight w:val="none"/>
              </w:rPr>
              <w:t xml:space="preserve">一年内任意一个月依法纳税的缴款凭证</w:t>
            </w:r>
            <w:r>
              <w:rPr>
                <w:rFonts w:hint="eastAsia" w:ascii="宋体" w:hAnsi="宋体" w:cs="宋体"/>
                <w:b/>
                <w:bCs/>
                <w:color w:val="auto"/>
                <w:szCs w:val="21"/>
                <w:highlight w:val="none"/>
              </w:rPr>
              <w:t xml:space="preserve">（供应商依法享受缓缴、免缴的提供证明材料）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26"/>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上一年度的财务报告情况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7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94"/>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68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6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本项目专门面向中小企业采购，供应商须提供《中小企业声明函》。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65"/>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1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供应商须具有有效期内的建筑工程施工总承包三级及以上资质(原件扫描上传)</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1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W w:w="544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供应商具备安全生产条件，并取得有效期内的安全生产许可证(原件扫描上传)</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1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拟派项目经理为本公司正式员工，正常缴纳社会保险，具备有效期内的建筑工程专业二级注册建造师及以上资质且具有有效的安全生产考核合格证（B类证）、项目经理无在建工程(提供供应商为其缴纳的近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内任意一个月的社保证明，证书原件、社保证明、项目经理无在建工程承诺书原件扫描上传）</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2"/>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79"/>
        <w:ind w:firstLine="422"/>
        <w:rPr>
          <w:rFonts w:hint="eastAsia" w:ascii="宋体" w:hAnsi="宋体" w:cs="宋体"/>
          <w:b/>
          <w:bCs/>
          <w:color w:val="auto"/>
          <w:highlight w:val="none"/>
        </w:rPr>
      </w:pPr>
      <w:r>
        <w:rPr>
          <w:rFonts w:hint="eastAsia" w:ascii="宋体" w:hAnsi="宋体" w:cs="宋体"/>
          <w:b/>
          <w:bCs/>
          <w:color w:val="auto"/>
          <w:highlight w:val="none"/>
        </w:rPr>
      </w:r>
      <w:r/>
    </w:p>
    <w:p>
      <w:pPr>
        <w:rPr>
          <w:color w:val="auto"/>
          <w:highlight w:val="none"/>
        </w:rPr>
      </w:pPr>
      <w:r>
        <w:rPr>
          <w:color w:val="auto"/>
          <w:highlight w:val="none"/>
        </w:rPr>
        <w:br w:type="page" w:clear="all"/>
      </w:r>
      <w:r/>
    </w:p>
    <w:p>
      <w:pPr>
        <w:pStyle w:val="705"/>
        <w:ind w:firstLine="0"/>
        <w:jc w:val="center"/>
        <w:rPr>
          <w:b/>
          <w:bCs/>
          <w:color w:val="auto"/>
          <w:highlight w:val="none"/>
        </w:rPr>
      </w:pPr>
      <w:r>
        <w:rPr>
          <w:rFonts w:hint="eastAsia"/>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______</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spacing w:line="360" w:lineRule="auto"/>
        <w:rPr>
          <w:rFonts w:hint="eastAsia"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项目经理</w:t>
      </w:r>
      <w:r>
        <w:rPr>
          <w:rFonts w:ascii="宋体" w:hAnsi="宋体"/>
          <w:b/>
          <w:color w:val="auto"/>
          <w:sz w:val="28"/>
          <w:szCs w:val="28"/>
          <w:highlight w:val="none"/>
        </w:rPr>
        <w:t xml:space="preserve">无在建工程承诺书</w:t>
      </w:r>
      <w:r/>
    </w:p>
    <w:p>
      <w:pPr>
        <w:jc w:val="left"/>
        <w:spacing w:line="540" w:lineRule="exact"/>
        <w:widowControl/>
        <w:rPr>
          <w:color w:val="auto"/>
          <w:szCs w:val="21"/>
          <w:highlight w:val="none"/>
        </w:rPr>
      </w:pPr>
      <w:r>
        <w:rPr>
          <w:color w:val="auto"/>
          <w:szCs w:val="21"/>
          <w:highlight w:val="none"/>
        </w:rPr>
        <w:t xml:space="preserve">致：</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（采购人名称）</w:t>
      </w:r>
      <w:r/>
    </w:p>
    <w:p>
      <w:pPr>
        <w:ind w:firstLine="480"/>
        <w:jc w:val="left"/>
        <w:spacing w:line="540" w:lineRule="exact"/>
        <w:widowControl/>
        <w:rPr>
          <w:rFonts w:hint="eastAsia" w:ascii="宋体" w:hAnsi="宋体"/>
          <w:color w:val="auto"/>
          <w:szCs w:val="21"/>
          <w:highlight w:val="none"/>
        </w:rPr>
      </w:pPr>
      <w:r>
        <w:rPr>
          <w:rFonts w:ascii="宋体" w:hAnsi="宋体"/>
          <w:color w:val="auto"/>
          <w:szCs w:val="21"/>
          <w:highlight w:val="none"/>
        </w:rPr>
        <w:t xml:space="preserve">我公司自愿参加贵单位采购编号为</w:t>
      </w:r>
      <w:r>
        <w:rPr>
          <w:rFonts w:ascii="宋体" w:hAnsi="宋体"/>
          <w:color w:val="auto"/>
          <w:szCs w:val="21"/>
          <w:highlight w:val="none"/>
          <w:u w:val="single"/>
        </w:rPr>
        <w:t xml:space="preserve">           </w:t>
      </w:r>
      <w:r>
        <w:rPr>
          <w:rFonts w:ascii="宋体" w:hAnsi="宋体"/>
          <w:color w:val="auto"/>
          <w:szCs w:val="21"/>
          <w:highlight w:val="none"/>
        </w:rPr>
        <w:t xml:space="preserve">的</w:t>
      </w:r>
      <w:r>
        <w:rPr>
          <w:rFonts w:ascii="宋体" w:hAnsi="宋体"/>
          <w:color w:val="auto"/>
          <w:szCs w:val="21"/>
          <w:highlight w:val="none"/>
          <w:u w:val="single"/>
        </w:rPr>
        <w:t xml:space="preserve">           </w:t>
      </w:r>
      <w:r>
        <w:rPr>
          <w:rFonts w:ascii="宋体" w:hAnsi="宋体"/>
          <w:color w:val="auto"/>
          <w:szCs w:val="21"/>
          <w:highlight w:val="none"/>
        </w:rPr>
        <w:t xml:space="preserve">项目的</w:t>
      </w:r>
      <w:r>
        <w:rPr>
          <w:rFonts w:hint="eastAsia" w:ascii="宋体" w:hAnsi="宋体"/>
          <w:color w:val="auto"/>
          <w:szCs w:val="21"/>
          <w:highlight w:val="none"/>
        </w:rPr>
        <w:t xml:space="preserve">磋商</w:t>
      </w:r>
      <w:r>
        <w:rPr>
          <w:rFonts w:ascii="宋体" w:hAnsi="宋体"/>
          <w:color w:val="auto"/>
          <w:szCs w:val="21"/>
          <w:highlight w:val="none"/>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jc w:val="left"/>
        <w:spacing w:line="540" w:lineRule="exact"/>
        <w:widowControl/>
        <w:rPr>
          <w:color w:val="auto"/>
          <w:szCs w:val="21"/>
          <w:highlight w:val="none"/>
        </w:rPr>
      </w:pPr>
      <w:r>
        <w:rPr>
          <w:rFonts w:ascii="宋体" w:hAnsi="宋体"/>
          <w:color w:val="auto"/>
          <w:szCs w:val="21"/>
          <w:highlight w:val="none"/>
        </w:rPr>
        <w:t xml:space="preserve">拟任</w:t>
      </w:r>
      <w:r>
        <w:rPr>
          <w:rFonts w:hint="eastAsia" w:ascii="宋体" w:hAnsi="宋体"/>
          <w:color w:val="auto"/>
          <w:szCs w:val="21"/>
          <w:highlight w:val="none"/>
        </w:rPr>
        <w:t xml:space="preserve">项目经理</w:t>
      </w:r>
      <w:r>
        <w:rPr>
          <w:rFonts w:ascii="宋体" w:hAnsi="宋体"/>
          <w:color w:val="auto"/>
          <w:szCs w:val="21"/>
          <w:highlight w:val="none"/>
          <w:u w:val="single"/>
        </w:rPr>
        <w:t xml:space="preserve">           </w:t>
      </w:r>
      <w:r>
        <w:rPr>
          <w:rFonts w:ascii="宋体" w:hAnsi="宋体"/>
          <w:color w:val="auto"/>
          <w:szCs w:val="21"/>
          <w:highlight w:val="none"/>
        </w:rPr>
        <w:t xml:space="preserve">身份证号码</w:t>
      </w:r>
      <w:r>
        <w:rPr>
          <w:rFonts w:ascii="宋体" w:hAnsi="宋体"/>
          <w:color w:val="auto"/>
          <w:szCs w:val="21"/>
          <w:highlight w:val="none"/>
          <w:u w:val="single"/>
        </w:rPr>
        <w:t xml:space="preserve">          </w:t>
      </w:r>
      <w:r>
        <w:rPr>
          <w:rFonts w:ascii="宋体" w:hAnsi="宋体"/>
          <w:color w:val="auto"/>
          <w:szCs w:val="21"/>
          <w:highlight w:val="none"/>
        </w:rPr>
        <w:t xml:space="preserve">注册证书号</w:t>
      </w:r>
      <w:r>
        <w:rPr>
          <w:rFonts w:ascii="宋体" w:hAnsi="宋体"/>
          <w:color w:val="auto"/>
          <w:szCs w:val="21"/>
          <w:highlight w:val="none"/>
          <w:u w:val="single"/>
        </w:rPr>
        <w:t xml:space="preserve">          </w:t>
      </w:r>
      <w:r>
        <w:rPr>
          <w:rFonts w:ascii="宋体" w:hAnsi="宋体"/>
          <w:color w:val="auto"/>
          <w:szCs w:val="21"/>
          <w:highlight w:val="none"/>
        </w:rPr>
        <w:t xml:space="preserve">无任何在建工程项目。本公司递交的</w:t>
      </w:r>
      <w:r>
        <w:rPr>
          <w:rFonts w:hint="eastAsia" w:ascii="宋体" w:hAnsi="宋体"/>
          <w:color w:val="auto"/>
          <w:szCs w:val="21"/>
          <w:highlight w:val="none"/>
        </w:rPr>
        <w:t xml:space="preserve">磋商</w:t>
      </w:r>
      <w:r>
        <w:rPr>
          <w:rFonts w:ascii="宋体" w:hAnsi="宋体"/>
          <w:color w:val="auto"/>
          <w:szCs w:val="21"/>
          <w:highlight w:val="none"/>
        </w:rPr>
        <w:t xml:space="preserve">文件中的内容没有隐瞒、虚假、伪造等弄虚作假行为。发现该行为，贵公司可以拒绝我公司</w:t>
      </w:r>
      <w:r>
        <w:rPr>
          <w:rFonts w:hint="eastAsia" w:ascii="宋体" w:hAnsi="宋体"/>
          <w:color w:val="auto"/>
          <w:szCs w:val="21"/>
          <w:highlight w:val="none"/>
        </w:rPr>
        <w:t xml:space="preserve">投标</w:t>
      </w:r>
      <w:r>
        <w:rPr>
          <w:rFonts w:ascii="宋体" w:hAnsi="宋体"/>
          <w:color w:val="auto"/>
          <w:szCs w:val="21"/>
          <w:highlight w:val="none"/>
        </w:rPr>
        <w:t xml:space="preserve">，如已中标，可取消我公司中标资格，并接受对我公司弄虚作假、违反公平和诚实信用原则做出的任何处理。</w:t>
      </w:r>
      <w:r/>
    </w:p>
    <w:p>
      <w:pPr>
        <w:ind w:firstLine="4410"/>
        <w:jc w:val="left"/>
        <w:spacing w:line="54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jc w:val="left"/>
        <w:spacing w:after="120"/>
        <w:widowControl/>
        <w:rPr>
          <w:color w:val="auto"/>
          <w:sz w:val="16"/>
          <w:szCs w:val="16"/>
          <w:highlight w:val="none"/>
        </w:rPr>
      </w:pPr>
      <w:r>
        <w:rPr>
          <w:color w:val="auto"/>
          <w:sz w:val="16"/>
          <w:szCs w:val="16"/>
          <w:highlight w:val="none"/>
        </w:rPr>
      </w:r>
      <w:r/>
    </w:p>
    <w:p>
      <w:pPr>
        <w:ind w:right="180" w:firstLine="5250"/>
        <w:spacing w:line="560" w:lineRule="exact"/>
        <w:rPr>
          <w:rFonts w:hint="eastAsia" w:ascii="宋体" w:hAnsi="宋体"/>
          <w:color w:val="auto"/>
          <w:szCs w:val="21"/>
          <w:highlight w:val="none"/>
        </w:rPr>
      </w:pPr>
      <w:r>
        <w:rPr>
          <w:rFonts w:hint="eastAsia" w:ascii="宋体" w:hAnsi="宋体"/>
          <w:color w:val="auto"/>
          <w:szCs w:val="21"/>
          <w:highlight w:val="none"/>
        </w:rPr>
        <w:t xml:space="preserve">企业名称（公章）：</w:t>
      </w:r>
      <w:r/>
    </w:p>
    <w:p>
      <w:pPr>
        <w:ind w:right="180" w:firstLine="315"/>
        <w:jc w:val="center"/>
        <w:spacing w:line="560" w:lineRule="exact"/>
        <w:rPr>
          <w:rFonts w:hint="eastAsia" w:ascii="宋体" w:hAnsi="宋体"/>
          <w:color w:val="auto"/>
          <w:szCs w:val="21"/>
          <w:highlight w:val="none"/>
        </w:rPr>
      </w:pPr>
      <w:r>
        <w:rPr>
          <w:rFonts w:hint="eastAsia" w:ascii="宋体" w:hAnsi="宋体"/>
          <w:color w:val="auto"/>
          <w:szCs w:val="21"/>
          <w:highlight w:val="none"/>
        </w:rPr>
        <w:t xml:space="preserve">                                   法定代表人签名：</w:t>
      </w:r>
      <w:r/>
    </w:p>
    <w:p>
      <w:pPr>
        <w:ind w:right="180" w:firstLine="315"/>
        <w:jc w:val="center"/>
        <w:spacing w:line="560" w:lineRule="exact"/>
        <w:rPr>
          <w:rFonts w:hint="eastAsia" w:ascii="宋体" w:hAnsi="宋体"/>
          <w:color w:val="auto"/>
          <w:szCs w:val="21"/>
          <w:highlight w:val="none"/>
        </w:rPr>
      </w:pPr>
      <w:r>
        <w:rPr>
          <w:rFonts w:hint="eastAsia" w:ascii="宋体" w:hAnsi="宋体"/>
          <w:color w:val="auto"/>
          <w:szCs w:val="21"/>
          <w:highlight w:val="none"/>
        </w:rPr>
        <w:t xml:space="preserve">                                   项目经理签名：</w:t>
      </w:r>
      <w:r/>
    </w:p>
    <w:p>
      <w:pPr>
        <w:ind w:right="180" w:firstLine="315"/>
        <w:jc w:val="right"/>
        <w:spacing w:line="560" w:lineRule="exact"/>
        <w:rPr>
          <w:rFonts w:hint="eastAsia" w:ascii="宋体" w:hAnsi="宋体"/>
          <w:b/>
          <w:color w:val="auto"/>
          <w:szCs w:val="21"/>
          <w:highlight w:val="none"/>
        </w:rPr>
      </w:pPr>
      <w:r>
        <w:rPr>
          <w:rFonts w:hint="eastAsia" w:ascii="宋体" w:hAnsi="宋体"/>
          <w:color w:val="auto"/>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致：江苏海红项目管理有限公司</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890"/>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（项目编号）号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89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890"/>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89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被授权人身份证复印件</w:t>
      </w:r>
      <w:r/>
    </w:p>
    <w:p>
      <w:pPr>
        <w:numPr>
          <w:ilvl w:val="0"/>
          <w:numId w:val="1"/>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4646"/>
        <w:gridCol w:w="1942"/>
        <w:gridCol w:w="1305"/>
      </w:tblGrid>
      <w:tr>
        <w:trPr>
          <w:trHeight w:val="882"/>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2"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5"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三、</w:t>
      </w: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4490"/>
        <w:gridCol w:w="1930"/>
        <w:gridCol w:w="1464"/>
      </w:tblGrid>
      <w:tr>
        <w:trPr>
          <w:trHeight w:val="882"/>
        </w:trPr>
        <w:tc>
          <w:tcPr>
            <w:tcW w:w="63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9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49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4"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9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9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bCs/>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b/>
          <w:bCs/>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before="300" w:after="300" w:line="360" w:lineRule="auto"/>
        <w:widowControl/>
        <w:rPr>
          <w:rFonts w:hint="eastAsia" w:ascii="宋体" w:hAnsi="宋体" w:cs="宋体"/>
          <w:color w:val="auto"/>
          <w:szCs w:val="21"/>
          <w:highlight w:val="none"/>
        </w:rPr>
      </w:pPr>
      <w:r/>
      <w:bookmarkStart w:id="34" w:name="_Toc109304977"/>
      <w:r>
        <w:rPr>
          <w:rFonts w:hint="eastAsia" w:ascii="宋体" w:hAnsi="宋体" w:cs="宋体"/>
          <w:color w:val="auto"/>
          <w:szCs w:val="21"/>
          <w:highlight w:val="none"/>
        </w:rPr>
        <w:t xml:space="preserve">中小微企业划型标准</w:t>
      </w:r>
      <w:bookmarkEnd w:id="34"/>
      <w:r>
        <w:rPr>
          <w:rFonts w:hint="eastAsia" w:ascii="宋体" w:hAnsi="宋体" w:cs="宋体"/>
          <w:color w:val="auto"/>
          <w:szCs w:val="21"/>
          <w:highlight w:val="none"/>
        </w:rPr>
        <w:t xml:space="preserve"> </w:t>
      </w:r>
      <w:r/>
    </w:p>
    <w:p>
      <w:pPr>
        <w:pStyle w:val="725"/>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728"/>
          <w:rFonts w:hint="eastAsia" w:ascii="宋体" w:hAnsi="宋体" w:cs="宋体"/>
          <w:color w:val="auto"/>
          <w:sz w:val="21"/>
          <w:szCs w:val="21"/>
          <w:highlight w:val="none"/>
        </w:rPr>
        <w:t xml:space="preserve">中小微企业划型标准如下：</w:t>
      </w:r>
      <w:r/>
    </w:p>
    <w:tbl>
      <w:tblPr>
        <w:tblStyle w:val="702"/>
        <w:tblW w:w="8603"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84"/>
        <w:gridCol w:w="1664"/>
        <w:gridCol w:w="483"/>
        <w:gridCol w:w="1999"/>
        <w:gridCol w:w="1636"/>
        <w:gridCol w:w="1437"/>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3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bl>
    <w:p>
      <w:pPr>
        <w:pStyle w:val="725"/>
        <w:ind w:firstLine="420"/>
        <w:spacing w:before="300" w:after="452" w:line="360" w:lineRule="auto"/>
        <w:widowControl/>
        <w:rPr>
          <w:rStyle w:val="728"/>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728"/>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pStyle w:val="713"/>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项目编号：                                           </w:t>
      </w:r>
      <w:r/>
    </w:p>
    <w:tbl>
      <w:tblPr>
        <w:tblStyle w:val="702"/>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7"/>
              <w:jc w:val="center"/>
              <w:spacing w:line="300" w:lineRule="auto"/>
              <w:rPr>
                <w:rFonts w:hint="eastAsia" w:hAnsi="宋体" w:cs="宋体"/>
                <w:color w:val="auto"/>
                <w:szCs w:val="21"/>
                <w:highlight w:val="none"/>
              </w:rPr>
            </w:pPr>
            <w:r>
              <w:rPr>
                <w:rFonts w:hint="eastAsia" w:hAnsi="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spacing w:after="200" w:line="220" w:lineRule="atLeast"/>
              <w:rPr>
                <w:rFonts w:hint="eastAsia" w:ascii="宋体" w:hAnsi="宋体"/>
                <w:color w:val="auto"/>
                <w:szCs w:val="21"/>
                <w:highlight w:val="none"/>
              </w:rPr>
            </w:pPr>
            <w:r>
              <w:rPr>
                <w:rFonts w:hint="eastAsia" w:ascii="宋体" w:hAnsi="宋体"/>
                <w:color w:val="auto"/>
                <w:szCs w:val="21"/>
                <w:highlight w:val="none"/>
              </w:rPr>
              <w:t xml:space="preserve">第一轮报价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7"/>
              <w:jc w:val="center"/>
              <w:spacing w:line="300" w:lineRule="auto"/>
              <w:rPr>
                <w:rFonts w:hint="eastAsia" w:hAnsi="宋体" w:cs="宋体"/>
                <w:color w:val="auto"/>
                <w:szCs w:val="21"/>
                <w:highlight w:val="none"/>
              </w:rPr>
            </w:pPr>
            <w:r>
              <w:rPr>
                <w:rFonts w:hint="eastAsia"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707"/>
              <w:spacing w:line="300" w:lineRule="auto"/>
              <w:rPr>
                <w:rFonts w:hint="eastAsia" w:hAnsi="宋体" w:cs="宋体"/>
                <w:color w:val="auto"/>
                <w:szCs w:val="21"/>
                <w:highlight w:val="none"/>
                <w:u w:val="single"/>
              </w:rPr>
            </w:pPr>
            <w:r>
              <w:rPr>
                <w:rFonts w:hint="eastAsia" w:hAnsi="宋体" w:cs="宋体"/>
                <w:color w:val="auto"/>
                <w:szCs w:val="21"/>
                <w:highlight w:val="none"/>
              </w:rPr>
              <w:t xml:space="preserve">大写： </w:t>
            </w:r>
            <w:r/>
          </w:p>
          <w:p>
            <w:pPr>
              <w:pStyle w:val="889"/>
              <w:ind w:firstLine="0"/>
              <w:jc w:val="both"/>
              <w:spacing w:before="0" w:after="0" w:line="5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小写：   （人民币）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7"/>
              <w:jc w:val="center"/>
              <w:spacing w:line="300" w:lineRule="auto"/>
              <w:rPr>
                <w:rFonts w:hint="eastAsia" w:hAnsi="宋体" w:cs="宋体"/>
                <w:color w:val="auto"/>
                <w:szCs w:val="21"/>
                <w:highlight w:val="none"/>
              </w:rPr>
            </w:pPr>
            <w:r>
              <w:rPr>
                <w:rFonts w:hint="eastAsia" w:hAnsi="宋体" w:cs="宋体"/>
                <w:color w:val="auto"/>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707"/>
              <w:ind w:firstLine="1365"/>
              <w:jc w:val="center"/>
              <w:spacing w:line="300" w:lineRule="auto"/>
              <w:rPr>
                <w:rFonts w:hint="eastAsia" w:hAnsi="宋体" w:cs="宋体"/>
                <w:color w:val="auto"/>
                <w:szCs w:val="21"/>
                <w:highlight w:val="none"/>
              </w:rPr>
            </w:pPr>
            <w:r>
              <w:rPr>
                <w:rFonts w:hint="eastAsia"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bookmarkStart w:id="35" w:name="_Toc109304978"/>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磋商供应商全称（盖章）：</w:t>
      </w:r>
      <w:r>
        <w:rPr>
          <w:rFonts w:hint="eastAsia" w:ascii="宋体" w:hAnsi="宋体"/>
          <w:color w:val="auto"/>
          <w:szCs w:val="21"/>
          <w:highlight w:val="none"/>
          <w:u w:val="singl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日期：    年   月    日</w:t>
      </w:r>
      <w:r/>
    </w:p>
    <w:p>
      <w:pPr>
        <w:jc w:val="center"/>
        <w:spacing w:line="500" w:lineRule="exact"/>
        <w:rPr>
          <w:rFonts w:hint="eastAsia" w:ascii="宋体" w:hAnsi="宋体"/>
          <w:b/>
          <w:color w:val="auto"/>
          <w:sz w:val="28"/>
          <w:szCs w:val="28"/>
          <w:highlight w:val="none"/>
        </w:rPr>
      </w:pPr>
      <w:r>
        <w:rPr>
          <w:rFonts w:hint="eastAsia" w:ascii="宋体" w:hAnsi="宋体" w:cs="宋体"/>
          <w:bCs/>
          <w:color w:val="auto"/>
          <w:highlight w:val="none"/>
        </w:rPr>
        <w:br w:type="page" w:clear="all"/>
      </w:r>
      <w:bookmarkStart w:id="36" w:name="_Toc25132"/>
      <w:r>
        <w:rPr>
          <w:rFonts w:hint="eastAsia" w:ascii="宋体" w:hAnsi="宋体"/>
          <w:b/>
          <w:color w:val="auto"/>
          <w:sz w:val="28"/>
          <w:szCs w:val="28"/>
          <w:highlight w:val="none"/>
        </w:rPr>
        <w:t xml:space="preserve">分项报价表</w:t>
      </w:r>
      <w:bookmarkEnd w:id="36"/>
      <w:r/>
      <w:r/>
    </w:p>
    <w:p>
      <w:pPr>
        <w:spacing w:line="360" w:lineRule="auto"/>
        <w:rPr>
          <w:color w:val="auto"/>
          <w:highlight w:val="none"/>
        </w:rPr>
      </w:pPr>
      <w:r>
        <w:rPr>
          <w:rFonts w:hint="eastAsia"/>
          <w:color w:val="auto"/>
          <w:highlight w:val="none"/>
        </w:rPr>
        <w:t xml:space="preserve">本次为首轮报价</w:t>
      </w:r>
      <w:r/>
    </w:p>
    <w:p>
      <w:pPr>
        <w:ind w:firstLine="527"/>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分项报价表按照附件提供的工程量清单的格式进行分项报价，分别填报单价和合价，要求填报完整，漏报项视为价格已分摊到其他清单项中。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1、供应商必须按表中规定格式完整、清晰、正确填写，没有的应注明“无”字样, 不得缺项。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3、单价和总价报价均应包括但不限于报价应包括所有材料及税金、包装费、运杂费、保险费、卸力费、安装费、资料费、质保费、综合费用等直至完全交付采购人使用的所有费用。</w:t>
      </w:r>
      <w:r/>
    </w:p>
    <w:p>
      <w:pPr>
        <w:pStyle w:val="891"/>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4、招标代理服务费等不在报价中单列，包含在总价中，由成交供应商缴纳。</w:t>
      </w:r>
      <w:r/>
    </w:p>
    <w:p>
      <w:pPr>
        <w:pStyle w:val="891"/>
        <w:ind w:firstLine="420"/>
        <w:spacing w:line="360" w:lineRule="auto"/>
        <w:tabs>
          <w:tab w:val="clear" w:pos="360" w:leader="none"/>
        </w:tabs>
        <w:rPr>
          <w:rFonts w:ascii="宋体" w:hAnsi="宋体"/>
          <w:b/>
          <w:color w:val="auto"/>
          <w:sz w:val="32"/>
          <w:szCs w:val="32"/>
          <w:highlight w:val="none"/>
        </w:rPr>
      </w:pPr>
      <w:r>
        <w:rPr>
          <w:rFonts w:hint="eastAsia" w:ascii="宋体" w:hAnsi="宋体" w:eastAsia="宋体" w:cs="宋体"/>
          <w:color w:val="auto"/>
          <w:sz w:val="21"/>
          <w:szCs w:val="21"/>
          <w:highlight w:val="none"/>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b/>
          <w:bCs/>
          <w:color w:val="auto"/>
          <w:sz w:val="28"/>
          <w:szCs w:val="28"/>
          <w:highlight w:val="none"/>
        </w:rPr>
        <w:t xml:space="preserve">五、技术参数响应及偏离表</w:t>
      </w:r>
      <w:bookmarkEnd w:id="35"/>
      <w:r/>
      <w:r/>
    </w:p>
    <w:tbl>
      <w:tblPr>
        <w:tblStyle w:val="7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2326"/>
        <w:gridCol w:w="2205"/>
        <w:gridCol w:w="1946"/>
        <w:gridCol w:w="1096"/>
      </w:tblGrid>
      <w:tr>
        <w:trPr>
          <w:cantSplit/>
          <w:trHeight w:val="694"/>
        </w:trPr>
        <w:tc>
          <w:tcPr>
            <w:tcW w:w="9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jc w:val="center"/>
        <w:spacing w:line="360" w:lineRule="auto"/>
        <w:rPr>
          <w:rFonts w:hint="eastAsia" w:ascii="宋体" w:hAnsi="宋体" w:cs="宋体"/>
          <w:color w:val="auto"/>
          <w:highlight w:val="none"/>
        </w:rPr>
      </w:pPr>
      <w:r/>
      <w:bookmarkStart w:id="37" w:name="_Hlt26955054"/>
      <w:r/>
      <w:bookmarkEnd w:id="37"/>
      <w:r/>
      <w:bookmarkStart w:id="38" w:name="_Toc109304979"/>
      <w:r>
        <w:rPr>
          <w:rFonts w:hint="eastAsia" w:ascii="宋体" w:hAnsi="宋体" w:cs="宋体"/>
          <w:color w:val="auto"/>
          <w:highlight w:val="none"/>
        </w:rPr>
        <w:br w:type="page" w:clear="all"/>
      </w:r>
      <w:r>
        <w:rPr>
          <w:rFonts w:hint="eastAsia" w:ascii="宋体" w:hAnsi="宋体" w:cs="宋体"/>
          <w:b/>
          <w:bCs/>
          <w:color w:val="auto"/>
          <w:sz w:val="28"/>
          <w:szCs w:val="28"/>
          <w:highlight w:val="none"/>
        </w:rPr>
        <w:t xml:space="preserve">六、商务条款响应及偏离表</w:t>
      </w:r>
      <w:bookmarkEnd w:id="38"/>
      <w:r/>
      <w:r/>
    </w:p>
    <w:tbl>
      <w:tblPr>
        <w:tblStyle w:val="702"/>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39" w:name="_Hlt26782999"/>
      <w:r/>
      <w:bookmarkEnd w:id="39"/>
      <w:r/>
      <w:bookmarkStart w:id="40" w:name="_Hlt26609391"/>
      <w:r/>
      <w:bookmarkEnd w:id="40"/>
      <w:r/>
      <w:bookmarkStart w:id="41" w:name="_Hlt26671372"/>
      <w:r/>
      <w:bookmarkEnd w:id="41"/>
      <w:r/>
      <w:bookmarkStart w:id="42" w:name="_Hlt26955056"/>
      <w:r/>
      <w:bookmarkEnd w:id="42"/>
      <w:r/>
      <w:bookmarkStart w:id="43" w:name="_Hlt26580838"/>
      <w:r/>
      <w:bookmarkEnd w:id="43"/>
      <w:r/>
      <w:bookmarkStart w:id="44" w:name="_Hlt26671343"/>
      <w:r/>
      <w:bookmarkEnd w:id="44"/>
      <w:r/>
      <w:bookmarkStart w:id="45" w:name="_Hlt26955064"/>
      <w:r/>
      <w:bookmarkEnd w:id="45"/>
      <w:r/>
      <w:bookmarkStart w:id="46" w:name="_Hlt24879081"/>
      <w:r/>
      <w:bookmarkEnd w:id="46"/>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02"/>
        <w:tblW w:w="81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84"/>
        <w:ind w:left="0" w:firstLine="0"/>
        <w:rPr>
          <w:color w:val="auto"/>
          <w:highlight w:val="none"/>
        </w:rPr>
      </w:pPr>
      <w:r>
        <w:rPr>
          <w:rFonts w:hint="eastAsia" w:ascii="宋体" w:hAnsi="宋体" w:cs="宋体"/>
          <w:b/>
          <w:bCs/>
          <w:color w:val="auto"/>
          <w:sz w:val="28"/>
          <w:szCs w:val="28"/>
          <w:highlight w:val="none"/>
        </w:rPr>
        <w:t xml:space="preserve">七、其他（供应商认为有必要提供的声明和文件，如有自拟并自行添加）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
    <w:panose1 w:val="02010609060101010101"/>
  </w:font>
  <w:font w:name="等线 Light">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rPr>
        <w:lang w:val="zh-CN"/>
      </w:rPr>
      <w:t xml:space="preserve">31</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firstLine="2160"/>
      <w:jc w:val="both"/>
      <w:rPr>
        <w:rFonts w:hint="eastAsia" w:eastAsia="宋体"/>
        <w:szCs w:val="22"/>
        <w:lang w:eastAsia="zh-CN"/>
      </w:rPr>
    </w:pPr>
    <w:r/>
    <w:bookmarkStart w:id="47" w:name="_Hlk69393955"/>
    <w:r/>
    <w:bookmarkStart w:id="48" w:name="_Hlk69393956"/>
    <w:r>
      <w:t xml:space="preserve">                                   </w:t>
    </w:r>
    <w:r>
      <w:rPr>
        <w:rFonts w:hint="eastAsia"/>
      </w:rPr>
      <w:t xml:space="preserve"> </w:t>
    </w:r>
    <w:r>
      <w:t xml:space="preserve">   </w:t>
    </w:r>
    <w:bookmarkEnd w:id="47"/>
    <w:r/>
    <w:bookmarkEnd w:id="48"/>
    <w:r>
      <w:rPr>
        <w:rFonts w:hint="eastAsia"/>
        <w:lang w:eastAsia="zh-CN"/>
      </w:rPr>
      <w:t xml:space="preserve">江苏海红项目管理有限公司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701"/>
    <w:link w:val="692"/>
    <w:uiPriority w:val="9"/>
    <w:rPr>
      <w:rFonts w:ascii="Arial" w:hAnsi="Arial" w:eastAsia="Arial" w:cs="Arial"/>
      <w:sz w:val="40"/>
      <w:szCs w:val="40"/>
    </w:rPr>
  </w:style>
  <w:style w:type="character" w:styleId="675">
    <w:name w:val="Heading 2 Char"/>
    <w:basedOn w:val="701"/>
    <w:link w:val="693"/>
    <w:uiPriority w:val="9"/>
    <w:rPr>
      <w:rFonts w:ascii="Arial" w:hAnsi="Arial" w:eastAsia="Arial" w:cs="Arial"/>
      <w:sz w:val="34"/>
    </w:rPr>
  </w:style>
  <w:style w:type="character" w:styleId="676">
    <w:name w:val="Heading 3 Char"/>
    <w:basedOn w:val="701"/>
    <w:link w:val="694"/>
    <w:uiPriority w:val="9"/>
    <w:rPr>
      <w:rFonts w:ascii="Arial" w:hAnsi="Arial" w:eastAsia="Arial" w:cs="Arial"/>
      <w:sz w:val="30"/>
      <w:szCs w:val="30"/>
    </w:rPr>
  </w:style>
  <w:style w:type="character" w:styleId="677">
    <w:name w:val="Heading 4 Char"/>
    <w:basedOn w:val="701"/>
    <w:link w:val="695"/>
    <w:uiPriority w:val="9"/>
    <w:rPr>
      <w:rFonts w:ascii="Arial" w:hAnsi="Arial" w:eastAsia="Arial" w:cs="Arial"/>
      <w:b/>
      <w:bCs/>
      <w:sz w:val="26"/>
      <w:szCs w:val="26"/>
    </w:rPr>
  </w:style>
  <w:style w:type="character" w:styleId="678">
    <w:name w:val="Heading 5 Char"/>
    <w:basedOn w:val="701"/>
    <w:link w:val="696"/>
    <w:uiPriority w:val="9"/>
    <w:rPr>
      <w:rFonts w:ascii="Arial" w:hAnsi="Arial" w:eastAsia="Arial" w:cs="Arial"/>
      <w:b/>
      <w:bCs/>
      <w:sz w:val="24"/>
      <w:szCs w:val="24"/>
    </w:rPr>
  </w:style>
  <w:style w:type="character" w:styleId="679">
    <w:name w:val="Heading 6 Char"/>
    <w:basedOn w:val="701"/>
    <w:link w:val="697"/>
    <w:uiPriority w:val="9"/>
    <w:rPr>
      <w:rFonts w:ascii="Arial" w:hAnsi="Arial" w:eastAsia="Arial" w:cs="Arial"/>
      <w:b/>
      <w:bCs/>
      <w:sz w:val="22"/>
      <w:szCs w:val="22"/>
    </w:rPr>
  </w:style>
  <w:style w:type="character" w:styleId="680">
    <w:name w:val="Heading 7 Char"/>
    <w:basedOn w:val="701"/>
    <w:link w:val="698"/>
    <w:uiPriority w:val="9"/>
    <w:rPr>
      <w:rFonts w:ascii="Arial" w:hAnsi="Arial" w:eastAsia="Arial" w:cs="Arial"/>
      <w:b/>
      <w:bCs/>
      <w:i/>
      <w:iCs/>
      <w:sz w:val="22"/>
      <w:szCs w:val="22"/>
    </w:rPr>
  </w:style>
  <w:style w:type="character" w:styleId="681">
    <w:name w:val="Heading 8 Char"/>
    <w:basedOn w:val="701"/>
    <w:link w:val="699"/>
    <w:uiPriority w:val="9"/>
    <w:rPr>
      <w:rFonts w:ascii="Arial" w:hAnsi="Arial" w:eastAsia="Arial" w:cs="Arial"/>
      <w:i/>
      <w:iCs/>
      <w:sz w:val="22"/>
      <w:szCs w:val="22"/>
    </w:rPr>
  </w:style>
  <w:style w:type="character" w:styleId="682">
    <w:name w:val="Heading 9 Char"/>
    <w:basedOn w:val="701"/>
    <w:link w:val="700"/>
    <w:uiPriority w:val="9"/>
    <w:rPr>
      <w:rFonts w:ascii="Arial" w:hAnsi="Arial" w:eastAsia="Arial" w:cs="Arial"/>
      <w:i/>
      <w:iCs/>
      <w:sz w:val="21"/>
      <w:szCs w:val="21"/>
    </w:rPr>
  </w:style>
  <w:style w:type="character" w:styleId="683">
    <w:name w:val="Title Char"/>
    <w:basedOn w:val="701"/>
    <w:link w:val="726"/>
    <w:uiPriority w:val="10"/>
    <w:rPr>
      <w:sz w:val="48"/>
      <w:szCs w:val="48"/>
    </w:rPr>
  </w:style>
  <w:style w:type="character" w:styleId="684">
    <w:name w:val="Subtitle Char"/>
    <w:basedOn w:val="701"/>
    <w:link w:val="719"/>
    <w:uiPriority w:val="11"/>
    <w:rPr>
      <w:sz w:val="24"/>
      <w:szCs w:val="24"/>
    </w:rPr>
  </w:style>
  <w:style w:type="character" w:styleId="685">
    <w:name w:val="Quote Char"/>
    <w:link w:val="744"/>
    <w:uiPriority w:val="29"/>
    <w:rPr>
      <w:i/>
    </w:rPr>
  </w:style>
  <w:style w:type="character" w:styleId="686">
    <w:name w:val="Intense Quote Char"/>
    <w:link w:val="746"/>
    <w:uiPriority w:val="30"/>
    <w:rPr>
      <w:i/>
    </w:rPr>
  </w:style>
  <w:style w:type="character" w:styleId="687">
    <w:name w:val="Header Char"/>
    <w:basedOn w:val="701"/>
    <w:link w:val="716"/>
    <w:uiPriority w:val="99"/>
  </w:style>
  <w:style w:type="character" w:styleId="688">
    <w:name w:val="Caption Char"/>
    <w:basedOn w:val="706"/>
    <w:link w:val="715"/>
    <w:uiPriority w:val="99"/>
  </w:style>
  <w:style w:type="character" w:styleId="689">
    <w:name w:val="Footnote Text Char"/>
    <w:link w:val="720"/>
    <w:uiPriority w:val="99"/>
    <w:rPr>
      <w:sz w:val="18"/>
    </w:rPr>
  </w:style>
  <w:style w:type="character" w:styleId="690">
    <w:name w:val="Endnote Text Char"/>
    <w:link w:val="714"/>
    <w:uiPriority w:val="99"/>
    <w:rPr>
      <w:sz w:val="20"/>
    </w:rPr>
  </w:style>
  <w:style w:type="paragraph" w:styleId="69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2">
    <w:name w:val="Heading 1"/>
    <w:basedOn w:val="691"/>
    <w:next w:val="691"/>
    <w:link w:val="732"/>
    <w:uiPriority w:val="9"/>
    <w:qFormat/>
    <w:pPr>
      <w:keepLines/>
      <w:keepNext/>
      <w:spacing w:before="340" w:after="330" w:line="578" w:lineRule="auto"/>
      <w:outlineLvl w:val="0"/>
    </w:pPr>
    <w:rPr>
      <w:rFonts w:ascii="Calibri" w:hAnsi="Calibri"/>
      <w:b/>
      <w:bCs/>
      <w:sz w:val="44"/>
      <w:szCs w:val="44"/>
    </w:rPr>
  </w:style>
  <w:style w:type="paragraph" w:styleId="693">
    <w:name w:val="Heading 2"/>
    <w:basedOn w:val="691"/>
    <w:next w:val="691"/>
    <w:link w:val="733"/>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4"/>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5"/>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6"/>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7"/>
    <w:uiPriority w:val="9"/>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738"/>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739"/>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740"/>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spacing w:after="57"/>
    </w:pPr>
  </w:style>
  <w:style w:type="paragraph" w:styleId="704">
    <w:name w:val="table of authorities"/>
    <w:basedOn w:val="691"/>
    <w:next w:val="691"/>
    <w:uiPriority w:val="0"/>
    <w:qFormat/>
    <w:pPr>
      <w:ind w:left="420"/>
    </w:pPr>
  </w:style>
  <w:style w:type="paragraph" w:styleId="705">
    <w:name w:val="Normal Indent"/>
    <w:basedOn w:val="691"/>
    <w:next w:val="691"/>
    <w:uiPriority w:val="0"/>
    <w:unhideWhenUsed/>
    <w:qFormat/>
    <w:pPr>
      <w:ind w:firstLine="420"/>
    </w:pPr>
    <w:rPr>
      <w:rFonts w:ascii="Calibri" w:hAnsi="Calibri"/>
    </w:rPr>
  </w:style>
  <w:style w:type="paragraph" w:styleId="706">
    <w:name w:val="Caption"/>
    <w:basedOn w:val="691"/>
    <w:next w:val="69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7">
    <w:name w:val="Body Text"/>
    <w:basedOn w:val="691"/>
    <w:uiPriority w:val="99"/>
    <w:unhideWhenUsed/>
    <w:qFormat/>
    <w:pPr>
      <w:spacing w:after="120"/>
    </w:pPr>
  </w:style>
  <w:style w:type="paragraph" w:styleId="708">
    <w:name w:val="Body Text Indent"/>
    <w:basedOn w:val="691"/>
    <w:next w:val="691"/>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709">
    <w:name w:val="toc 5"/>
    <w:basedOn w:val="691"/>
    <w:next w:val="691"/>
    <w:uiPriority w:val="39"/>
    <w:unhideWhenUsed/>
    <w:pPr>
      <w:ind w:left="1134"/>
      <w:spacing w:after="57"/>
    </w:pPr>
  </w:style>
  <w:style w:type="paragraph" w:styleId="710">
    <w:name w:val="toc 3"/>
    <w:basedOn w:val="691"/>
    <w:next w:val="691"/>
    <w:uiPriority w:val="39"/>
    <w:unhideWhenUsed/>
    <w:pPr>
      <w:ind w:left="567"/>
      <w:spacing w:after="57"/>
    </w:pPr>
  </w:style>
  <w:style w:type="paragraph" w:styleId="711">
    <w:name w:val="Plain Text"/>
    <w:basedOn w:val="691"/>
    <w:uiPriority w:val="99"/>
    <w:unhideWhenUsed/>
    <w:qFormat/>
    <w:rPr>
      <w:rFonts w:ascii="宋体" w:hAnsi="Courier New"/>
      <w:sz w:val="20"/>
      <w:szCs w:val="20"/>
    </w:rPr>
  </w:style>
  <w:style w:type="paragraph" w:styleId="712">
    <w:name w:val="toc 8"/>
    <w:basedOn w:val="691"/>
    <w:next w:val="691"/>
    <w:uiPriority w:val="39"/>
    <w:unhideWhenUsed/>
    <w:qFormat/>
    <w:pPr>
      <w:ind w:left="1984"/>
      <w:spacing w:after="57"/>
    </w:pPr>
  </w:style>
  <w:style w:type="paragraph" w:styleId="713">
    <w:name w:val="Date"/>
    <w:basedOn w:val="691"/>
    <w:next w:val="691"/>
    <w:uiPriority w:val="0"/>
    <w:qFormat/>
    <w:rPr>
      <w:sz w:val="24"/>
      <w:szCs w:val="20"/>
    </w:rPr>
  </w:style>
  <w:style w:type="paragraph" w:styleId="714">
    <w:name w:val="endnote text"/>
    <w:basedOn w:val="691"/>
    <w:link w:val="877"/>
    <w:uiPriority w:val="99"/>
    <w:semiHidden/>
    <w:unhideWhenUsed/>
    <w:qFormat/>
    <w:rPr>
      <w:sz w:val="20"/>
    </w:rPr>
  </w:style>
  <w:style w:type="paragraph" w:styleId="715">
    <w:name w:val="Footer"/>
    <w:basedOn w:val="691"/>
    <w:link w:val="750"/>
    <w:uiPriority w:val="99"/>
    <w:unhideWhenUsed/>
    <w:qFormat/>
    <w:pPr>
      <w:jc w:val="left"/>
      <w:tabs>
        <w:tab w:val="center" w:pos="4153" w:leader="none"/>
        <w:tab w:val="right" w:pos="8306" w:leader="none"/>
      </w:tabs>
    </w:pPr>
    <w:rPr>
      <w:sz w:val="18"/>
      <w:szCs w:val="18"/>
    </w:rPr>
  </w:style>
  <w:style w:type="paragraph" w:styleId="716">
    <w:name w:val="Header"/>
    <w:basedOn w:val="691"/>
    <w:link w:val="74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91"/>
    <w:next w:val="691"/>
    <w:uiPriority w:val="39"/>
    <w:unhideWhenUsed/>
    <w:qFormat/>
    <w:rPr>
      <w:rFonts w:ascii="Calibri" w:hAnsi="Calibri"/>
    </w:rPr>
  </w:style>
  <w:style w:type="paragraph" w:styleId="718">
    <w:name w:val="toc 4"/>
    <w:basedOn w:val="691"/>
    <w:next w:val="691"/>
    <w:uiPriority w:val="39"/>
    <w:unhideWhenUsed/>
    <w:qFormat/>
    <w:pPr>
      <w:ind w:left="850"/>
      <w:spacing w:after="57"/>
    </w:pPr>
  </w:style>
  <w:style w:type="paragraph" w:styleId="719">
    <w:name w:val="Subtitle"/>
    <w:basedOn w:val="691"/>
    <w:next w:val="691"/>
    <w:link w:val="743"/>
    <w:uiPriority w:val="11"/>
    <w:qFormat/>
    <w:pPr>
      <w:spacing w:before="200" w:after="200"/>
    </w:pPr>
    <w:rPr>
      <w:sz w:val="24"/>
      <w:szCs w:val="24"/>
    </w:rPr>
  </w:style>
  <w:style w:type="paragraph" w:styleId="720">
    <w:name w:val="footnote text"/>
    <w:basedOn w:val="691"/>
    <w:link w:val="876"/>
    <w:uiPriority w:val="99"/>
    <w:semiHidden/>
    <w:unhideWhenUsed/>
    <w:qFormat/>
    <w:pPr>
      <w:spacing w:after="40"/>
    </w:pPr>
    <w:rPr>
      <w:sz w:val="18"/>
    </w:rPr>
  </w:style>
  <w:style w:type="paragraph" w:styleId="721">
    <w:name w:val="toc 6"/>
    <w:basedOn w:val="691"/>
    <w:next w:val="691"/>
    <w:uiPriority w:val="39"/>
    <w:unhideWhenUsed/>
    <w:qFormat/>
    <w:pPr>
      <w:ind w:left="1417"/>
      <w:spacing w:after="57"/>
    </w:pPr>
  </w:style>
  <w:style w:type="paragraph" w:styleId="722">
    <w:name w:val="table of figures"/>
    <w:basedOn w:val="691"/>
    <w:next w:val="691"/>
    <w:uiPriority w:val="99"/>
    <w:unhideWhenUsed/>
    <w:qFormat/>
  </w:style>
  <w:style w:type="paragraph" w:styleId="723">
    <w:name w:val="toc 2"/>
    <w:basedOn w:val="691"/>
    <w:next w:val="691"/>
    <w:uiPriority w:val="39"/>
    <w:unhideWhenUsed/>
    <w:qFormat/>
    <w:pPr>
      <w:ind w:left="283"/>
      <w:spacing w:after="57"/>
    </w:pPr>
  </w:style>
  <w:style w:type="paragraph" w:styleId="724">
    <w:name w:val="toc 9"/>
    <w:basedOn w:val="691"/>
    <w:next w:val="691"/>
    <w:uiPriority w:val="0"/>
    <w:qFormat/>
    <w:pPr>
      <w:ind w:left="3360"/>
    </w:pPr>
  </w:style>
  <w:style w:type="paragraph" w:styleId="725">
    <w:name w:val="Normal (Web)"/>
    <w:basedOn w:val="691"/>
    <w:uiPriority w:val="0"/>
    <w:unhideWhenUsed/>
    <w:qFormat/>
    <w:pPr>
      <w:jc w:val="left"/>
    </w:pPr>
    <w:rPr>
      <w:rFonts w:ascii="Calibri" w:hAnsi="Calibri"/>
      <w:sz w:val="24"/>
      <w:szCs w:val="24"/>
    </w:rPr>
  </w:style>
  <w:style w:type="paragraph" w:styleId="726">
    <w:name w:val="Title"/>
    <w:basedOn w:val="691"/>
    <w:next w:val="691"/>
    <w:link w:val="742"/>
    <w:uiPriority w:val="10"/>
    <w:qFormat/>
    <w:pPr>
      <w:contextualSpacing/>
      <w:spacing w:before="300" w:after="200"/>
    </w:pPr>
    <w:rPr>
      <w:sz w:val="48"/>
      <w:szCs w:val="48"/>
    </w:rPr>
  </w:style>
  <w:style w:type="table" w:styleId="727">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rPr>
  </w:style>
  <w:style w:type="character" w:styleId="729">
    <w:name w:val="endnote reference"/>
    <w:basedOn w:val="701"/>
    <w:uiPriority w:val="99"/>
    <w:semiHidden/>
    <w:unhideWhenUsed/>
    <w:qFormat/>
    <w:rPr>
      <w:vertAlign w:val="superscript"/>
    </w:rPr>
  </w:style>
  <w:style w:type="character" w:styleId="730">
    <w:name w:val="Hyperlink"/>
    <w:uiPriority w:val="99"/>
    <w:unhideWhenUsed/>
    <w:qFormat/>
    <w:rPr>
      <w:color w:val="0026e5" w:themeColor="hyperlink"/>
      <w:u w:val="single"/>
      <w14:textFill>
        <w14:solidFill>
          <w14:schemeClr w14:val="hlink"/>
        </w14:solidFill>
      </w14:textFill>
    </w:rPr>
  </w:style>
  <w:style w:type="character" w:styleId="731">
    <w:name w:val="footnote reference"/>
    <w:basedOn w:val="701"/>
    <w:uiPriority w:val="99"/>
    <w:unhideWhenUsed/>
    <w:qFormat/>
    <w:rPr>
      <w:vertAlign w:val="superscript"/>
    </w:rPr>
  </w:style>
  <w:style w:type="character" w:styleId="732" w:customStyle="1">
    <w:name w:val="标题 1 字符"/>
    <w:basedOn w:val="701"/>
    <w:link w:val="692"/>
    <w:uiPriority w:val="9"/>
    <w:qFormat/>
    <w:rPr>
      <w:rFonts w:ascii="Arial" w:hAnsi="Arial" w:eastAsia="Arial" w:cs="Arial"/>
      <w:sz w:val="40"/>
      <w:szCs w:val="40"/>
    </w:rPr>
  </w:style>
  <w:style w:type="character" w:styleId="733" w:customStyle="1">
    <w:name w:val="标题 2 字符"/>
    <w:basedOn w:val="701"/>
    <w:link w:val="693"/>
    <w:uiPriority w:val="9"/>
    <w:qFormat/>
    <w:rPr>
      <w:rFonts w:ascii="Arial" w:hAnsi="Arial" w:eastAsia="Arial" w:cs="Arial"/>
      <w:sz w:val="34"/>
    </w:rPr>
  </w:style>
  <w:style w:type="character" w:styleId="734" w:customStyle="1">
    <w:name w:val="标题 3 字符"/>
    <w:basedOn w:val="701"/>
    <w:link w:val="694"/>
    <w:uiPriority w:val="9"/>
    <w:qFormat/>
    <w:rPr>
      <w:rFonts w:ascii="Arial" w:hAnsi="Arial" w:eastAsia="Arial" w:cs="Arial"/>
      <w:sz w:val="30"/>
      <w:szCs w:val="30"/>
    </w:rPr>
  </w:style>
  <w:style w:type="character" w:styleId="735" w:customStyle="1">
    <w:name w:val="标题 4 字符"/>
    <w:basedOn w:val="701"/>
    <w:link w:val="695"/>
    <w:uiPriority w:val="9"/>
    <w:qFormat/>
    <w:rPr>
      <w:rFonts w:ascii="Arial" w:hAnsi="Arial" w:eastAsia="Arial" w:cs="Arial"/>
      <w:b/>
      <w:bCs/>
      <w:sz w:val="26"/>
      <w:szCs w:val="26"/>
    </w:rPr>
  </w:style>
  <w:style w:type="character" w:styleId="736" w:customStyle="1">
    <w:name w:val="标题 5 字符"/>
    <w:basedOn w:val="701"/>
    <w:link w:val="696"/>
    <w:uiPriority w:val="9"/>
    <w:qFormat/>
    <w:rPr>
      <w:rFonts w:ascii="Arial" w:hAnsi="Arial" w:eastAsia="Arial" w:cs="Arial"/>
      <w:b/>
      <w:bCs/>
      <w:sz w:val="24"/>
      <w:szCs w:val="24"/>
    </w:rPr>
  </w:style>
  <w:style w:type="character" w:styleId="737" w:customStyle="1">
    <w:name w:val="标题 6 字符"/>
    <w:basedOn w:val="701"/>
    <w:link w:val="697"/>
    <w:uiPriority w:val="9"/>
    <w:qFormat/>
    <w:rPr>
      <w:rFonts w:ascii="Arial" w:hAnsi="Arial" w:eastAsia="Arial" w:cs="Arial"/>
      <w:b/>
      <w:bCs/>
      <w:sz w:val="22"/>
      <w:szCs w:val="22"/>
    </w:rPr>
  </w:style>
  <w:style w:type="character" w:styleId="738" w:customStyle="1">
    <w:name w:val="标题 7 字符"/>
    <w:basedOn w:val="701"/>
    <w:link w:val="698"/>
    <w:uiPriority w:val="9"/>
    <w:qFormat/>
    <w:rPr>
      <w:rFonts w:ascii="Arial" w:hAnsi="Arial" w:eastAsia="Arial" w:cs="Arial"/>
      <w:b/>
      <w:bCs/>
      <w:i/>
      <w:iCs/>
      <w:sz w:val="22"/>
      <w:szCs w:val="22"/>
    </w:rPr>
  </w:style>
  <w:style w:type="character" w:styleId="739" w:customStyle="1">
    <w:name w:val="标题 8 字符"/>
    <w:basedOn w:val="701"/>
    <w:link w:val="699"/>
    <w:uiPriority w:val="9"/>
    <w:qFormat/>
    <w:rPr>
      <w:rFonts w:ascii="Arial" w:hAnsi="Arial" w:eastAsia="Arial" w:cs="Arial"/>
      <w:i/>
      <w:iCs/>
      <w:sz w:val="22"/>
      <w:szCs w:val="22"/>
    </w:rPr>
  </w:style>
  <w:style w:type="character" w:styleId="740" w:customStyle="1">
    <w:name w:val="标题 9 字符"/>
    <w:basedOn w:val="701"/>
    <w:link w:val="700"/>
    <w:uiPriority w:val="9"/>
    <w:qFormat/>
    <w:rPr>
      <w:rFonts w:ascii="Arial" w:hAnsi="Arial" w:eastAsia="Arial" w:cs="Arial"/>
      <w:i/>
      <w:iCs/>
      <w:sz w:val="21"/>
      <w:szCs w:val="21"/>
    </w:rPr>
  </w:style>
  <w:style w:type="paragraph" w:styleId="741">
    <w:name w:val="No Spacing"/>
    <w:uiPriority w:val="1"/>
    <w:qFormat/>
    <w:rPr>
      <w:rFonts w:ascii="Times New Roman" w:hAnsi="Times New Roman" w:eastAsia="宋体" w:cs="Times New Roman"/>
      <w:lang w:val="en-US" w:eastAsia="zh-CN" w:bidi="ar-SA"/>
    </w:rPr>
  </w:style>
  <w:style w:type="character" w:styleId="742" w:customStyle="1">
    <w:name w:val="标题 字符"/>
    <w:basedOn w:val="701"/>
    <w:link w:val="726"/>
    <w:uiPriority w:val="10"/>
    <w:qFormat/>
    <w:rPr>
      <w:sz w:val="48"/>
      <w:szCs w:val="48"/>
    </w:rPr>
  </w:style>
  <w:style w:type="character" w:styleId="743" w:customStyle="1">
    <w:name w:val="副标题 字符"/>
    <w:basedOn w:val="701"/>
    <w:link w:val="719"/>
    <w:uiPriority w:val="11"/>
    <w:qFormat/>
    <w:rPr>
      <w:sz w:val="24"/>
      <w:szCs w:val="24"/>
    </w:rPr>
  </w:style>
  <w:style w:type="paragraph" w:styleId="744">
    <w:name w:val="Quote"/>
    <w:basedOn w:val="691"/>
    <w:next w:val="691"/>
    <w:link w:val="745"/>
    <w:uiPriority w:val="29"/>
    <w:qFormat/>
    <w:pPr>
      <w:ind w:left="720" w:right="720"/>
    </w:pPr>
    <w:rPr>
      <w:i/>
    </w:rPr>
  </w:style>
  <w:style w:type="character" w:styleId="745" w:customStyle="1">
    <w:name w:val="引用 字符"/>
    <w:link w:val="744"/>
    <w:uiPriority w:val="29"/>
    <w:qFormat/>
    <w:rPr>
      <w:i/>
    </w:rPr>
  </w:style>
  <w:style w:type="paragraph" w:styleId="746">
    <w:name w:val="Intense Quote"/>
    <w:basedOn w:val="691"/>
    <w:next w:val="691"/>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字符"/>
    <w:link w:val="746"/>
    <w:uiPriority w:val="30"/>
    <w:qFormat/>
    <w:rPr>
      <w:i/>
    </w:rPr>
  </w:style>
  <w:style w:type="character" w:styleId="748" w:customStyle="1">
    <w:name w:val="页眉 字符"/>
    <w:basedOn w:val="701"/>
    <w:link w:val="716"/>
    <w:uiPriority w:val="99"/>
    <w:qFormat/>
  </w:style>
  <w:style w:type="character" w:styleId="749" w:customStyle="1">
    <w:name w:val="Footer Char"/>
    <w:basedOn w:val="701"/>
    <w:uiPriority w:val="99"/>
    <w:qFormat/>
  </w:style>
  <w:style w:type="character" w:styleId="750" w:customStyle="1">
    <w:name w:val="页脚 字符"/>
    <w:link w:val="715"/>
    <w:uiPriority w:val="99"/>
    <w:qFormat/>
  </w:style>
  <w:style w:type="table" w:styleId="751"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2" w:customStyle="1">
    <w:name w:val="Plain Table 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1" w:customStyle="1">
    <w:name w:val="Grid Table 3"/>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0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0" w:customStyle="1">
    <w:name w:val="Grid Table 4 - Accent 2"/>
    <w:basedOn w:val="70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1" w:customStyle="1">
    <w:name w:val="Grid Table 4 - Accent 3"/>
    <w:basedOn w:val="70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2" w:customStyle="1">
    <w:name w:val="Grid Table 4 - Accent 4"/>
    <w:basedOn w:val="70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3" w:customStyle="1">
    <w:name w:val="Grid Table 4 - Accent 5"/>
    <w:basedOn w:val="70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4" w:customStyle="1">
    <w:name w:val="Grid Table 4 - Accent 6"/>
    <w:basedOn w:val="70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5" w:customStyle="1">
    <w:name w:val="Grid Table 5 Dark"/>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7"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8"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9"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0"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1"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2" w:customStyle="1">
    <w:name w:val="Grid Table 6 Colorful"/>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70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70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6" w:customStyle="1">
    <w:name w:val="Grid Table 6 Colorful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70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6 Colorful - Accent 6"/>
    <w:basedOn w:val="70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9" w:customStyle="1">
    <w:name w:val="Grid Table 7 Colorful"/>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70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70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70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70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70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70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0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0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0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0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0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0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List Table 2"/>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70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5" w:customStyle="1">
    <w:name w:val="List Table 2 - Accent 2"/>
    <w:basedOn w:val="70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6" w:customStyle="1">
    <w:name w:val="List Table 2 - Accent 3"/>
    <w:basedOn w:val="70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7" w:customStyle="1">
    <w:name w:val="List Table 2 - Accent 4"/>
    <w:basedOn w:val="70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8" w:customStyle="1">
    <w:name w:val="List Table 2 - Accent 5"/>
    <w:basedOn w:val="70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9" w:customStyle="1">
    <w:name w:val="List Table 2 - Accent 6"/>
    <w:basedOn w:val="70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0" w:customStyle="1">
    <w:name w:val="List Table 3"/>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0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2" w:customStyle="1">
    <w:name w:val="List Table 3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0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0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0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7" w:customStyle="1">
    <w:name w:val="List Table 4"/>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0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4 - Accent 2"/>
    <w:basedOn w:val="70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0" w:customStyle="1">
    <w:name w:val="List Table 4 - Accent 3"/>
    <w:basedOn w:val="70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1" w:customStyle="1">
    <w:name w:val="List Table 4 - Accent 4"/>
    <w:basedOn w:val="70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2" w:customStyle="1">
    <w:name w:val="List Table 4 - Accent 5"/>
    <w:basedOn w:val="70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3" w:customStyle="1">
    <w:name w:val="List Table 4 - Accent 6"/>
    <w:basedOn w:val="70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4" w:customStyle="1">
    <w:name w:val="List Table 5 Dark"/>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70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70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70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70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70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70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70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3" w:customStyle="1">
    <w:name w:val="List Table 6 Colorful - Accent 2"/>
    <w:basedOn w:val="70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4" w:customStyle="1">
    <w:name w:val="List Table 6 Colorful - Accent 3"/>
    <w:basedOn w:val="70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5" w:customStyle="1">
    <w:name w:val="List Table 6 Colorful - Accent 4"/>
    <w:basedOn w:val="70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6" w:customStyle="1">
    <w:name w:val="List Table 6 Colorful - Accent 5"/>
    <w:basedOn w:val="70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7" w:customStyle="1">
    <w:name w:val="List Table 6 Colorful - Accent 6"/>
    <w:basedOn w:val="70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8" w:customStyle="1">
    <w:name w:val="List Table 7 Colorful"/>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70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70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70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70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70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70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7"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8"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9"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0"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1"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2"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70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Bordered &amp; Lined - Accent 2"/>
    <w:basedOn w:val="70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Bordered &amp; Lined - Accent 3"/>
    <w:basedOn w:val="70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Bordered &amp; Lined - Accent 4"/>
    <w:basedOn w:val="70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Bordered &amp; Lined - Accent 5"/>
    <w:basedOn w:val="70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Bordered &amp; Lined - Accent 6"/>
    <w:basedOn w:val="70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1" w:customStyle="1">
    <w:name w:val="Bordered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2" w:customStyle="1">
    <w:name w:val="Bordered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3" w:customStyle="1">
    <w:name w:val="Bordered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4" w:customStyle="1">
    <w:name w:val="Bordered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5" w:customStyle="1">
    <w:name w:val="Bordered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6" w:customStyle="1">
    <w:name w:val="脚注文本 字符"/>
    <w:link w:val="720"/>
    <w:uiPriority w:val="99"/>
    <w:qFormat/>
    <w:rPr>
      <w:sz w:val="18"/>
    </w:rPr>
  </w:style>
  <w:style w:type="character" w:styleId="877" w:customStyle="1">
    <w:name w:val="尾注文本 字符"/>
    <w:link w:val="714"/>
    <w:uiPriority w:val="99"/>
    <w:qFormat/>
    <w:rPr>
      <w:sz w:val="20"/>
    </w:rPr>
  </w:style>
  <w:style w:type="paragraph" w:styleId="878" w:customStyle="1">
    <w:name w:val="TOC Heading"/>
    <w:uiPriority w:val="39"/>
    <w:unhideWhenUsed/>
    <w:qFormat/>
    <w:rPr>
      <w:rFonts w:ascii="Times New Roman" w:hAnsi="Times New Roman" w:eastAsia="宋体" w:cs="Times New Roman"/>
      <w:lang w:val="en-US" w:eastAsia="zh-CN" w:bidi="ar-SA"/>
    </w:rPr>
  </w:style>
  <w:style w:type="paragraph" w:styleId="879" w:customStyle="1">
    <w:name w:val="正文（缩进）"/>
    <w:basedOn w:val="691"/>
    <w:next w:val="880"/>
    <w:uiPriority w:val="0"/>
    <w:qFormat/>
    <w:pPr>
      <w:ind w:firstLine="480"/>
    </w:pPr>
    <w:rPr>
      <w:rFonts w:ascii="Calibri" w:hAnsi="Calibri"/>
      <w:szCs w:val="24"/>
    </w:rPr>
  </w:style>
  <w:style w:type="paragraph" w:styleId="880" w:customStyle="1">
    <w:name w:val="Char Char Char Char Char Char Char Char Char"/>
    <w:basedOn w:val="691"/>
    <w:next w:val="881"/>
    <w:uiPriority w:val="0"/>
    <w:qFormat/>
    <w:pPr>
      <w:ind w:left="360" w:firstLine="5784"/>
    </w:pPr>
  </w:style>
  <w:style w:type="paragraph" w:styleId="881" w:customStyle="1">
    <w:name w:val="正文文本 21"/>
    <w:basedOn w:val="691"/>
    <w:next w:val="882"/>
    <w:uiPriority w:val="0"/>
    <w:qFormat/>
    <w:pPr>
      <w:ind w:left="720" w:firstLine="5680"/>
      <w:widowControl/>
    </w:pPr>
  </w:style>
  <w:style w:type="paragraph" w:styleId="882" w:customStyle="1">
    <w:name w:val="默认段落字体 Para Char Char Char Char Char Char Char"/>
    <w:basedOn w:val="691"/>
    <w:next w:val="883"/>
    <w:uiPriority w:val="99"/>
    <w:qFormat/>
    <w:pPr>
      <w:ind w:firstLine="200"/>
    </w:pPr>
    <w:rPr>
      <w:rFonts w:ascii="Calibri" w:hAnsi="Calibri" w:cs="Arial"/>
      <w:szCs w:val="24"/>
    </w:rPr>
  </w:style>
  <w:style w:type="paragraph" w:styleId="883" w:customStyle="1">
    <w:name w:val="样式 首行缩进:  2 字符"/>
    <w:basedOn w:val="691"/>
    <w:next w:val="884"/>
    <w:uiPriority w:val="0"/>
    <w:qFormat/>
    <w:pPr>
      <w:ind w:left="480" w:firstLine="5856"/>
      <w:spacing w:line="360" w:lineRule="auto"/>
    </w:pPr>
  </w:style>
  <w:style w:type="paragraph" w:styleId="884" w:customStyle="1">
    <w:name w:val="样式 段后: 0.25 行"/>
    <w:basedOn w:val="691"/>
    <w:next w:val="885"/>
    <w:uiPriority w:val="0"/>
    <w:qFormat/>
    <w:pPr>
      <w:ind w:left="420" w:firstLine="5796"/>
      <w:spacing w:line="300" w:lineRule="auto"/>
      <w:widowControl/>
    </w:pPr>
  </w:style>
  <w:style w:type="paragraph" w:styleId="885" w:customStyle="1">
    <w:name w:val="正文 New New New New New New New New New New New New New New"/>
    <w:next w:val="724"/>
    <w:uiPriority w:val="0"/>
    <w:qFormat/>
    <w:pPr>
      <w:ind w:firstLine="2048"/>
      <w:jc w:val="both"/>
      <w:widowControl w:val="off"/>
    </w:pPr>
    <w:rPr>
      <w:rFonts w:ascii="Calibri" w:hAnsi="Calibri" w:eastAsia="宋体" w:cs="Times New Roman"/>
      <w:lang w:val="en-US" w:eastAsia="zh-CN" w:bidi="ar-SA"/>
    </w:rPr>
  </w:style>
  <w:style w:type="paragraph" w:styleId="886" w:customStyle="1">
    <w:name w:val="正文首行缩进 21"/>
    <w:basedOn w:val="691"/>
    <w:uiPriority w:val="0"/>
    <w:qFormat/>
    <w:pPr>
      <w:ind w:firstLine="420"/>
      <w:spacing w:line="400" w:lineRule="exact"/>
    </w:pPr>
    <w:rPr>
      <w:rFonts w:ascii="Calibri" w:hAnsi="Calibri"/>
      <w:sz w:val="20"/>
      <w:szCs w:val="21"/>
    </w:rPr>
  </w:style>
  <w:style w:type="paragraph" w:styleId="887" w:customStyle="1">
    <w:name w:val="标题1"/>
    <w:basedOn w:val="691"/>
    <w:next w:val="691"/>
    <w:uiPriority w:val="99"/>
    <w:qFormat/>
    <w:pPr>
      <w:jc w:val="center"/>
      <w:spacing w:before="240" w:after="60"/>
      <w:outlineLvl w:val="0"/>
    </w:pPr>
    <w:rPr>
      <w:rFonts w:ascii="等线 Light" w:hAnsi="等线 Light"/>
      <w:b/>
      <w:bCs/>
      <w:sz w:val="32"/>
      <w:szCs w:val="32"/>
    </w:rPr>
  </w:style>
  <w:style w:type="paragraph" w:styleId="888" w:customStyle="1">
    <w:name w:val="Normal1"/>
    <w:uiPriority w:val="99"/>
    <w:qFormat/>
    <w:rPr>
      <w:rFonts w:ascii="Calibri" w:hAnsi="Calibri" w:eastAsia="宋体" w:cs="Times New Roman"/>
      <w:sz w:val="24"/>
      <w:szCs w:val="24"/>
      <w:lang w:val="en-US" w:eastAsia="zh-CN" w:bidi="ar-SA"/>
    </w:rPr>
  </w:style>
  <w:style w:type="paragraph" w:styleId="889" w:customStyle="1">
    <w:name w:val="普通正文"/>
    <w:basedOn w:val="691"/>
    <w:uiPriority w:val="0"/>
    <w:qFormat/>
    <w:pPr>
      <w:ind w:firstLine="480"/>
      <w:jc w:val="left"/>
      <w:spacing w:before="120" w:after="120" w:line="360" w:lineRule="auto"/>
    </w:pPr>
    <w:rPr>
      <w:rFonts w:ascii="Arial" w:hAnsi="Arial"/>
      <w:sz w:val="24"/>
      <w:szCs w:val="24"/>
    </w:rPr>
  </w:style>
  <w:style w:type="paragraph" w:styleId="890" w:customStyle="1">
    <w:name w:val="Char"/>
    <w:basedOn w:val="691"/>
    <w:uiPriority w:val="0"/>
    <w:qFormat/>
    <w:pPr>
      <w:ind w:firstLine="200"/>
      <w:tabs>
        <w:tab w:val="left" w:pos="360" w:leader="none"/>
      </w:tabs>
    </w:pPr>
    <w:rPr>
      <w:sz w:val="28"/>
      <w:szCs w:val="30"/>
    </w:rPr>
  </w:style>
  <w:style w:type="paragraph" w:styleId="891" w:customStyle="1">
    <w:name w:val="ListBullet2"/>
    <w:basedOn w:val="691"/>
    <w:uiPriority w:val="0"/>
    <w:qFormat/>
    <w:pPr>
      <w:tabs>
        <w:tab w:val="left" w:pos="360" w:leader="none"/>
        <w:tab w:val="decimal" w:pos="780" w:leader="none"/>
      </w:tabs>
    </w:pPr>
    <w:rPr>
      <w:rFonts w:ascii="Calibri" w:hAnsi="Calibri" w:eastAsia="Times New Roman"/>
      <w:sz w:val="24"/>
      <w:szCs w:val="24"/>
    </w:rPr>
  </w:style>
  <w:style w:type="paragraph" w:styleId="892" w:customStyle="1">
    <w:name w:val="正文1"/>
    <w:basedOn w:val="691"/>
    <w:next w:val="893"/>
    <w:uiPriority w:val="0"/>
    <w:qFormat/>
    <w:pPr>
      <w:jc w:val="left"/>
      <w:spacing w:line="360" w:lineRule="atLeast"/>
    </w:pPr>
    <w:rPr>
      <w:rFonts w:ascii="宋体" w:hAnsi="Calibri"/>
      <w:sz w:val="24"/>
      <w:szCs w:val="20"/>
    </w:rPr>
  </w:style>
  <w:style w:type="paragraph" w:styleId="893" w:customStyle="1">
    <w:name w:val="正文文本1"/>
    <w:basedOn w:val="892"/>
    <w:next w:val="894"/>
    <w:uiPriority w:val="0"/>
    <w:qFormat/>
    <w:pPr>
      <w:spacing w:after="120"/>
    </w:pPr>
    <w:rPr>
      <w:lang w:eastAsia="en-US"/>
    </w:rPr>
  </w:style>
  <w:style w:type="paragraph" w:styleId="894" w:customStyle="1">
    <w:name w:val="一级条标题"/>
    <w:basedOn w:val="691"/>
    <w:next w:val="69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95" w:customStyle="1">
    <w:name w:val="纯文本1"/>
    <w:basedOn w:val="691"/>
    <w:uiPriority w:val="99"/>
    <w:qFormat/>
    <w:rPr>
      <w:rFonts w:ascii="宋体" w:hAnsi="Courier New"/>
      <w:sz w:val="20"/>
      <w:szCs w:val="21"/>
    </w:rPr>
  </w:style>
  <w:style w:type="paragraph" w:styleId="896" w:customStyle="1">
    <w:name w:val="正文文本11"/>
    <w:basedOn w:val="691"/>
    <w:next w:val="691"/>
    <w:uiPriority w:val="0"/>
    <w:qFormat/>
    <w:rPr>
      <w:rFonts w:ascii="楷体_GB2312" w:hAnsi="Arial" w:eastAsia="楷体_GB2312"/>
      <w:sz w:val="28"/>
      <w:szCs w:val="28"/>
    </w:rPr>
  </w:style>
  <w:style w:type="paragraph" w:styleId="897" w:customStyle="1">
    <w:name w:val="正文(其它)"/>
    <w:basedOn w:val="691"/>
    <w:uiPriority w:val="99"/>
    <w:qFormat/>
    <w:pPr>
      <w:jc w:val="center"/>
    </w:pPr>
    <w:rPr>
      <w:rFonts w:ascii="黑体" w:eastAsia="黑体"/>
      <w:sz w:val="32"/>
      <w:szCs w:val="32"/>
    </w:rPr>
  </w:style>
  <w:style w:type="paragraph" w:styleId="898">
    <w:name w:val="List Paragraph"/>
    <w:basedOn w:val="691"/>
    <w:uiPriority w:val="99"/>
    <w:unhideWhenUsed/>
    <w:qFormat/>
    <w:pPr>
      <w:ind w:firstLine="420"/>
    </w:pPr>
  </w:style>
  <w:style w:type="character" w:styleId="899" w:customStyle="1">
    <w:name w:val="font5 Char"/>
    <w:uiPriority w:val="0"/>
    <w:qFormat/>
    <w:rPr>
      <w:rFonts w:ascii="宋体" w:hAnsi="宋体" w:eastAsia="宋体"/>
      <w:sz w:val="28"/>
      <w:szCs w:val="28"/>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yzmx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陆海红</cp:lastModifiedBy>
  <cp:revision>158</cp:revision>
  <dcterms:created xsi:type="dcterms:W3CDTF">2024-04-26T03:41:00Z</dcterms:created>
  <dcterms:modified xsi:type="dcterms:W3CDTF">2025-11-13T01:58:35Z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58B0CA41B7FB4022A6AAFE1EA5D9E5DB_11</vt:lpwstr>
  </property>
  <property fmtid="{D5CDD505-2E9C-101B-9397-08002B2CF9AE}" pid="4" name="KSOTemplateDocerSaveRecord">
    <vt:lpwstr>eyJoZGlkIjoiM2E1MmMyNmQ1ZDY4YjVmOGI3MzYyOGY1ODFhYzNkZDUiLCJ1c2VySWQiOiI0NDA3MTA4NDQifQ==</vt:lpwstr>
  </property>
</Properties>
</file>